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D8E1">
      <w:pPr>
        <w:adjustRightInd w:val="0"/>
        <w:snapToGrid w:val="0"/>
        <w:spacing w:line="560" w:lineRule="exact"/>
        <w:jc w:val="left"/>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rPr>
        <w:t>附件3</w:t>
      </w:r>
    </w:p>
    <w:p w14:paraId="1AD1F91D">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p>
    <w:p w14:paraId="292D09AA">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cs="Times New Roman"/>
          <w:b/>
          <w:snapToGrid w:val="0"/>
          <w:sz w:val="44"/>
          <w:szCs w:val="44"/>
        </w:rPr>
      </w:pPr>
      <w:r>
        <w:rPr>
          <w:rFonts w:hint="default" w:ascii="Times New Roman" w:hAnsi="Times New Roman" w:cs="Times New Roman"/>
          <w:b/>
          <w:snapToGrid w:val="0"/>
          <w:sz w:val="44"/>
          <w:szCs w:val="44"/>
        </w:rPr>
        <w:t>东莞市装配式建筑装配率计算细则二</w:t>
      </w:r>
    </w:p>
    <w:p w14:paraId="6462B61B">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楷体" w:cs="Times New Roman"/>
          <w:snapToGrid w:val="0"/>
          <w:sz w:val="24"/>
        </w:rPr>
      </w:pPr>
      <w:r>
        <w:rPr>
          <w:rFonts w:hint="default" w:ascii="Times New Roman" w:hAnsi="Times New Roman" w:eastAsia="楷体" w:cs="Times New Roman"/>
          <w:snapToGrid w:val="0"/>
          <w:sz w:val="24"/>
        </w:rPr>
        <w:t>以广东省《装配式建筑评价标准》（DBJ</w:t>
      </w:r>
      <w:r>
        <w:rPr>
          <w:rFonts w:hint="eastAsia" w:eastAsia="楷体" w:cs="Times New Roman"/>
          <w:snapToGrid w:val="0"/>
          <w:sz w:val="24"/>
          <w:lang w:val="en-US" w:eastAsia="zh-CN"/>
        </w:rPr>
        <w:t>/</w:t>
      </w:r>
      <w:r>
        <w:rPr>
          <w:rFonts w:hint="default" w:ascii="Times New Roman" w:hAnsi="Times New Roman" w:eastAsia="楷体" w:cs="Times New Roman"/>
          <w:snapToGrid w:val="0"/>
          <w:sz w:val="24"/>
        </w:rPr>
        <w:t>T 15-163-2019）为依据编制</w:t>
      </w:r>
    </w:p>
    <w:p w14:paraId="5997ED8A">
      <w:pPr>
        <w:keepNext w:val="0"/>
        <w:keepLines w:val="0"/>
        <w:pageBreakBefore w:val="0"/>
        <w:kinsoku/>
        <w:wordWrap/>
        <w:overflowPunct/>
        <w:topLinePunct w:val="0"/>
        <w:autoSpaceDE/>
        <w:autoSpaceDN/>
        <w:bidi w:val="0"/>
        <w:adjustRightInd w:val="0"/>
        <w:snapToGrid/>
        <w:spacing w:line="240" w:lineRule="auto"/>
        <w:textAlignment w:val="auto"/>
        <w:rPr>
          <w:rFonts w:hint="default" w:ascii="Times New Roman" w:hAnsi="Times New Roman" w:cs="Times New Roman"/>
          <w:sz w:val="28"/>
        </w:rPr>
      </w:pPr>
    </w:p>
    <w:p w14:paraId="54A864A0">
      <w:pPr>
        <w:keepNext w:val="0"/>
        <w:keepLines w:val="0"/>
        <w:pageBreakBefore w:val="0"/>
        <w:kinsoku/>
        <w:wordWrap/>
        <w:overflowPunct/>
        <w:topLinePunct w:val="0"/>
        <w:autoSpaceDE/>
        <w:autoSpaceDN/>
        <w:bidi w:val="0"/>
        <w:adjustRightInd w:val="0"/>
        <w:snapToGrid/>
        <w:spacing w:line="240" w:lineRule="auto"/>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一、基本要求</w:t>
      </w:r>
    </w:p>
    <w:p w14:paraId="332D8952">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（一）本细则适用于采用广东省《装配式建筑评价标准》（DBJ/T 15-163-2019）作为评价技术标准的装配式混凝土建筑项目，装配式钢结构、木结构等</w:t>
      </w:r>
      <w:r>
        <w:rPr>
          <w:rFonts w:hint="eastAsia" w:cs="Times New Roman"/>
          <w:bCs/>
          <w:sz w:val="28"/>
          <w:szCs w:val="28"/>
          <w:lang w:eastAsia="zh-CN"/>
        </w:rPr>
        <w:t>其他</w:t>
      </w:r>
      <w:r>
        <w:rPr>
          <w:rFonts w:hint="default" w:ascii="Times New Roman" w:hAnsi="Times New Roman" w:cs="Times New Roman"/>
          <w:bCs/>
          <w:sz w:val="28"/>
          <w:szCs w:val="28"/>
        </w:rPr>
        <w:t>类型装配式建筑的装配率计算可参照执行。</w:t>
      </w:r>
    </w:p>
    <w:p w14:paraId="7CE37236">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（二）装配式建筑评价以单体建筑为基本评价对象，单体建筑按项目规划审批图纸的建筑编号确认。装配率计算以单体建筑主楼标准层结构为计算范围。</w:t>
      </w:r>
    </w:p>
    <w:p w14:paraId="6D54606E">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三）标准层是指单体建筑室外地坪以上采用统一标准设计、平面结构布局相同的楼层。实施装配式建筑除结构首层架空层（含功能和结构与标准层完全不一致的楼层）、屋面层以及住宅项目中的裙楼、结构转换层、避难层、设备层外，其余楼层应视为标准层并纳入实施范围。</w:t>
      </w:r>
    </w:p>
    <w:p w14:paraId="721FDD56">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（四）装配率计算书数据应与装配式专项设计文件图纸图面统计数据一致。装配式建筑专项设计文件的装配式建筑设计说明专篇应有装配率评分表各得分项对应的技术要点说明。</w:t>
      </w:r>
    </w:p>
    <w:p w14:paraId="0166E382">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五）超限高层建筑工程抗震设防专项审查结论认为采用预制构件影响结构抗震安全的建筑，可不采用预制构件。开展预评价时应提供超限报告及专家审查意见，超限报告应有装配式建筑专篇说明。其主体结构采用装配式模板施工工艺的，装配率计算评分表主体结构（Q1）项可得20分。</w:t>
      </w:r>
    </w:p>
    <w:p w14:paraId="73BF1E0A">
      <w:pPr>
        <w:keepNext w:val="0"/>
        <w:keepLines w:val="0"/>
        <w:pageBreakBefore w:val="0"/>
        <w:kinsoku/>
        <w:wordWrap/>
        <w:overflowPunct/>
        <w:topLinePunct w:val="0"/>
        <w:autoSpaceDE/>
        <w:autoSpaceDN/>
        <w:bidi w:val="0"/>
        <w:adjustRightInd w:val="0"/>
        <w:snapToGrid/>
        <w:spacing w:line="240" w:lineRule="auto"/>
        <w:ind w:firstLine="600" w:firstLineChars="200"/>
        <w:textAlignment w:val="auto"/>
        <w:rPr>
          <w:rFonts w:hint="default" w:ascii="Times New Roman" w:hAnsi="Times New Roman" w:cs="Times New Roman"/>
          <w:sz w:val="28"/>
        </w:rPr>
      </w:pPr>
      <w:r>
        <w:rPr>
          <w:rFonts w:hint="default" w:ascii="Times New Roman" w:hAnsi="Times New Roman" w:eastAsia="黑体" w:cs="Times New Roman"/>
          <w:sz w:val="30"/>
          <w:szCs w:val="30"/>
        </w:rPr>
        <w:t>二、装配率评分项计算公式</w:t>
      </w:r>
    </w:p>
    <w:p w14:paraId="7B0D96D8">
      <w:pPr>
        <w:keepNext w:val="0"/>
        <w:keepLines w:val="0"/>
        <w:pageBreakBefore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（一）主体结构评价分值Q1计算</w:t>
      </w:r>
    </w:p>
    <w:p w14:paraId="153C12E1">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1.柱、支撑、承重墙、延性墙板等主体结构竖向构件主要采用混凝土材料时，</w:t>
      </w:r>
      <w:r>
        <w:rPr>
          <w:rFonts w:hint="default" w:ascii="Times New Roman" w:hAnsi="Times New Roman" w:cs="Times New Roman"/>
          <w:sz w:val="28"/>
          <w:szCs w:val="28"/>
        </w:rPr>
        <w:t>预制部品部件应用比例</w:t>
      </w:r>
      <w:r>
        <w:rPr>
          <w:rFonts w:hint="default" w:ascii="Times New Roman" w:hAnsi="Times New Roman" w:cs="Times New Roman"/>
          <w:bCs/>
          <w:sz w:val="28"/>
          <w:szCs w:val="28"/>
        </w:rPr>
        <w:t>计算：</w:t>
      </w:r>
    </w:p>
    <w:p w14:paraId="19F96A90">
      <w:pPr>
        <w:keepNext w:val="0"/>
        <w:keepLines w:val="0"/>
        <w:pageBreakBefore w:val="0"/>
        <w:tabs>
          <w:tab w:val="left" w:pos="7350"/>
        </w:tabs>
        <w:kinsoku/>
        <w:wordWrap/>
        <w:overflowPunct/>
        <w:topLinePunct w:val="0"/>
        <w:autoSpaceDE/>
        <w:autoSpaceDN/>
        <w:bidi w:val="0"/>
        <w:adjustRightInd w:val="0"/>
        <w:snapToGrid/>
        <w:spacing w:line="240" w:lineRule="auto"/>
        <w:ind w:left="3537"/>
        <w:textAlignment w:val="auto"/>
        <w:rPr>
          <w:rFonts w:hint="default" w:ascii="Times New Roman" w:hAnsi="Times New Roman" w:cs="Times New Roman"/>
          <w:i/>
          <w:sz w:val="28"/>
          <w:szCs w:val="28"/>
        </w:rPr>
      </w:pPr>
      <w:r>
        <w:rPr>
          <w:rFonts w:hint="default" w:ascii="Times New Roman" w:hAnsi="Times New Roman" w:cs="Times New Roman"/>
          <w:i/>
          <w:sz w:val="28"/>
          <w:szCs w:val="28"/>
        </w:rPr>
        <w:t>q1a=V1a/V×100%</w:t>
      </w:r>
      <w:r>
        <w:rPr>
          <w:rFonts w:hint="default" w:ascii="Times New Roman" w:hAnsi="Times New Roman" w:cs="Times New Roman"/>
          <w:i/>
          <w:sz w:val="28"/>
          <w:szCs w:val="28"/>
        </w:rPr>
        <w:tab/>
      </w:r>
    </w:p>
    <w:p w14:paraId="294D7536">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spacing w:val="-29"/>
          <w:sz w:val="28"/>
          <w:szCs w:val="28"/>
        </w:rPr>
        <w:t>：</w:t>
      </w:r>
      <w:r>
        <w:rPr>
          <w:rFonts w:hint="default" w:ascii="Times New Roman" w:hAnsi="Times New Roman" w:cs="Times New Roman"/>
          <w:i/>
          <w:sz w:val="28"/>
          <w:szCs w:val="28"/>
        </w:rPr>
        <w:t>q</w:t>
      </w:r>
      <w:r>
        <w:rPr>
          <w:rFonts w:hint="default" w:ascii="Times New Roman" w:hAnsi="Times New Roman" w:cs="Times New Roman"/>
          <w:spacing w:val="1"/>
          <w:position w:val="-2"/>
          <w:sz w:val="28"/>
          <w:szCs w:val="28"/>
          <w:vertAlign w:val="subscript"/>
        </w:rPr>
        <w:t>1</w:t>
      </w:r>
      <w:r>
        <w:rPr>
          <w:rFonts w:hint="default" w:ascii="Times New Roman" w:hAnsi="Times New Roman" w:cs="Times New Roman"/>
          <w:position w:val="-2"/>
          <w:sz w:val="28"/>
          <w:szCs w:val="28"/>
          <w:vertAlign w:val="subscript"/>
        </w:rPr>
        <w:t>a</w:t>
      </w:r>
      <w:r>
        <w:rPr>
          <w:rFonts w:hint="default" w:ascii="Times New Roman" w:hAnsi="Times New Roman" w:cs="Times New Roman"/>
          <w:i/>
          <w:spacing w:val="-1"/>
          <w:sz w:val="28"/>
          <w:szCs w:val="28"/>
        </w:rPr>
        <w:t>──</w:t>
      </w:r>
      <w:r>
        <w:rPr>
          <w:rFonts w:hint="default" w:ascii="Times New Roman" w:hAnsi="Times New Roman" w:cs="Times New Roman"/>
          <w:spacing w:val="-3"/>
          <w:sz w:val="28"/>
          <w:szCs w:val="28"/>
        </w:rPr>
        <w:t>柱</w:t>
      </w:r>
      <w:r>
        <w:rPr>
          <w:rFonts w:hint="default" w:ascii="Times New Roman" w:hAnsi="Times New Roman" w:cs="Times New Roman"/>
          <w:spacing w:val="-29"/>
          <w:sz w:val="28"/>
          <w:szCs w:val="28"/>
        </w:rPr>
        <w:t>、</w:t>
      </w:r>
      <w:r>
        <w:rPr>
          <w:rFonts w:hint="default" w:ascii="Times New Roman" w:hAnsi="Times New Roman" w:cs="Times New Roman"/>
          <w:sz w:val="28"/>
          <w:szCs w:val="28"/>
        </w:rPr>
        <w:t>支</w:t>
      </w:r>
      <w:r>
        <w:rPr>
          <w:rFonts w:hint="default" w:ascii="Times New Roman" w:hAnsi="Times New Roman" w:cs="Times New Roman"/>
          <w:spacing w:val="-3"/>
          <w:sz w:val="28"/>
          <w:szCs w:val="28"/>
        </w:rPr>
        <w:t>撑</w:t>
      </w:r>
      <w:r>
        <w:rPr>
          <w:rFonts w:hint="default" w:ascii="Times New Roman" w:hAnsi="Times New Roman" w:cs="Times New Roman"/>
          <w:spacing w:val="-29"/>
          <w:sz w:val="28"/>
          <w:szCs w:val="28"/>
        </w:rPr>
        <w:t>、</w:t>
      </w:r>
      <w:r>
        <w:rPr>
          <w:rFonts w:hint="default" w:ascii="Times New Roman" w:hAnsi="Times New Roman" w:cs="Times New Roman"/>
          <w:sz w:val="28"/>
          <w:szCs w:val="28"/>
        </w:rPr>
        <w:t>承重墙</w:t>
      </w:r>
      <w:r>
        <w:rPr>
          <w:rFonts w:hint="default" w:ascii="Times New Roman" w:hAnsi="Times New Roman" w:cs="Times New Roman"/>
          <w:spacing w:val="-29"/>
          <w:sz w:val="28"/>
          <w:szCs w:val="28"/>
        </w:rPr>
        <w:t>、</w:t>
      </w:r>
      <w:r>
        <w:rPr>
          <w:rFonts w:hint="default" w:ascii="Times New Roman" w:hAnsi="Times New Roman" w:cs="Times New Roman"/>
          <w:sz w:val="28"/>
          <w:szCs w:val="28"/>
        </w:rPr>
        <w:t>延性墙板</w:t>
      </w:r>
      <w:r>
        <w:rPr>
          <w:rFonts w:hint="default" w:ascii="Times New Roman" w:hAnsi="Times New Roman" w:cs="Times New Roman"/>
          <w:spacing w:val="-3"/>
          <w:sz w:val="28"/>
          <w:szCs w:val="28"/>
        </w:rPr>
        <w:t>等</w:t>
      </w:r>
      <w:r>
        <w:rPr>
          <w:rFonts w:hint="default" w:ascii="Times New Roman" w:hAnsi="Times New Roman" w:cs="Times New Roman"/>
          <w:sz w:val="28"/>
          <w:szCs w:val="28"/>
        </w:rPr>
        <w:t>主体结构竖向构件中预制部品部件的应用比例；</w:t>
      </w:r>
    </w:p>
    <w:p w14:paraId="4561AB03">
      <w:pPr>
        <w:pStyle w:val="6"/>
        <w:keepNext w:val="0"/>
        <w:keepLines w:val="0"/>
        <w:pageBreakBefore w:val="0"/>
        <w:kinsoku/>
        <w:wordWrap/>
        <w:overflowPunct/>
        <w:topLinePunct w:val="0"/>
        <w:autoSpaceDE/>
        <w:autoSpaceDN/>
        <w:bidi w:val="0"/>
        <w:adjustRightInd w:val="0"/>
        <w:snapToGrid/>
        <w:spacing w:line="240" w:lineRule="auto"/>
        <w:ind w:right="237" w:firstLine="556" w:firstLineChars="200"/>
        <w:textAlignment w:val="auto"/>
        <w:rPr>
          <w:rFonts w:hint="default" w:ascii="Times New Roman" w:hAnsi="Times New Roman" w:cs="Times New Roman"/>
          <w:sz w:val="28"/>
          <w:szCs w:val="28"/>
        </w:rPr>
      </w:pPr>
      <w:r>
        <w:rPr>
          <w:rFonts w:hint="default" w:ascii="Times New Roman" w:hAnsi="Times New Roman" w:cs="Times New Roman"/>
          <w:i/>
          <w:spacing w:val="-1"/>
          <w:sz w:val="28"/>
          <w:szCs w:val="28"/>
        </w:rPr>
        <w:t>V</w:t>
      </w:r>
      <w:r>
        <w:rPr>
          <w:rFonts w:hint="default" w:ascii="Times New Roman" w:hAnsi="Times New Roman" w:cs="Times New Roman"/>
          <w:spacing w:val="1"/>
          <w:position w:val="-2"/>
          <w:sz w:val="28"/>
          <w:szCs w:val="28"/>
          <w:vertAlign w:val="subscript"/>
        </w:rPr>
        <w:t>1</w:t>
      </w:r>
      <w:r>
        <w:rPr>
          <w:rFonts w:hint="default" w:ascii="Times New Roman" w:hAnsi="Times New Roman" w:cs="Times New Roman"/>
          <w:spacing w:val="3"/>
          <w:position w:val="-2"/>
          <w:sz w:val="28"/>
          <w:szCs w:val="28"/>
          <w:vertAlign w:val="subscript"/>
        </w:rPr>
        <w:t>a</w:t>
      </w:r>
      <w:r>
        <w:rPr>
          <w:rFonts w:hint="default" w:ascii="Times New Roman" w:hAnsi="Times New Roman" w:cs="Times New Roman"/>
          <w:i/>
          <w:spacing w:val="-1"/>
          <w:sz w:val="28"/>
          <w:szCs w:val="28"/>
        </w:rPr>
        <w:t>──</w:t>
      </w:r>
      <w:r>
        <w:rPr>
          <w:rFonts w:hint="default" w:ascii="Times New Roman" w:hAnsi="Times New Roman" w:cs="Times New Roman"/>
          <w:spacing w:val="2"/>
          <w:sz w:val="28"/>
          <w:szCs w:val="28"/>
        </w:rPr>
        <w:t>柱</w:t>
      </w: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支</w:t>
      </w:r>
      <w:r>
        <w:rPr>
          <w:rFonts w:hint="default" w:ascii="Times New Roman" w:hAnsi="Times New Roman" w:cs="Times New Roman"/>
          <w:sz w:val="28"/>
          <w:szCs w:val="28"/>
        </w:rPr>
        <w:t>撑、承重墙、延性墙板等主体结构竖向构件中预制混凝土体积之和；</w:t>
      </w:r>
    </w:p>
    <w:p w14:paraId="1E816B5C">
      <w:pPr>
        <w:pStyle w:val="6"/>
        <w:keepNext w:val="0"/>
        <w:keepLines w:val="0"/>
        <w:pageBreakBefore w:val="0"/>
        <w:kinsoku/>
        <w:wordWrap/>
        <w:overflowPunct/>
        <w:topLinePunct w:val="0"/>
        <w:autoSpaceDE/>
        <w:autoSpaceDN/>
        <w:bidi w:val="0"/>
        <w:adjustRightInd w:val="0"/>
        <w:snapToGrid/>
        <w:spacing w:line="240" w:lineRule="auto"/>
        <w:ind w:right="237" w:firstLine="556" w:firstLineChars="200"/>
        <w:textAlignment w:val="auto"/>
        <w:rPr>
          <w:rFonts w:hint="default" w:ascii="Times New Roman" w:hAnsi="Times New Roman" w:cs="Times New Roman"/>
          <w:i/>
          <w:spacing w:val="-1"/>
          <w:sz w:val="28"/>
          <w:szCs w:val="28"/>
        </w:rPr>
      </w:pPr>
      <w:r>
        <w:rPr>
          <w:rFonts w:hint="default" w:ascii="Times New Roman" w:hAnsi="Times New Roman" w:cs="Times New Roman"/>
          <w:i/>
          <w:spacing w:val="-1"/>
          <w:sz w:val="28"/>
          <w:szCs w:val="28"/>
        </w:rPr>
        <w:t>V──</w:t>
      </w:r>
      <w:r>
        <w:rPr>
          <w:rFonts w:hint="default" w:ascii="Times New Roman" w:hAnsi="Times New Roman" w:cs="Times New Roman"/>
          <w:sz w:val="28"/>
          <w:szCs w:val="28"/>
        </w:rPr>
        <w:t>柱、支撑、承重墙、延性墙板等主体结构竖向构件混凝土总体积。</w:t>
      </w:r>
    </w:p>
    <w:p w14:paraId="1C9F56AF">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2.竖向构件（柱、墙）采用受力钢筋与免拆模板形成一体的中空预制构件（含叠合剪力墙），并在现场安装和浇筑混凝土时，应用比例计算：</w:t>
      </w:r>
    </w:p>
    <w:p w14:paraId="4D53B3D6">
      <w:pPr>
        <w:keepNext w:val="0"/>
        <w:keepLines w:val="0"/>
        <w:pageBreakBefore w:val="0"/>
        <w:tabs>
          <w:tab w:val="left" w:pos="7350"/>
        </w:tabs>
        <w:kinsoku/>
        <w:wordWrap/>
        <w:overflowPunct/>
        <w:topLinePunct w:val="0"/>
        <w:autoSpaceDE/>
        <w:autoSpaceDN/>
        <w:bidi w:val="0"/>
        <w:adjustRightInd w:val="0"/>
        <w:snapToGrid/>
        <w:spacing w:line="240" w:lineRule="auto"/>
        <w:ind w:left="3537"/>
        <w:textAlignment w:val="auto"/>
        <w:rPr>
          <w:rFonts w:hint="default" w:ascii="Times New Roman" w:hAnsi="Times New Roman" w:cs="Times New Roman"/>
          <w:sz w:val="28"/>
          <w:szCs w:val="28"/>
        </w:rPr>
      </w:pPr>
      <w:r>
        <w:rPr>
          <w:rFonts w:hint="default" w:ascii="Times New Roman" w:hAnsi="Times New Roman" w:cs="Times New Roman"/>
          <w:i/>
          <w:sz w:val="28"/>
          <w:szCs w:val="28"/>
        </w:rPr>
        <w:t>q1a1=V1a1</w:t>
      </w:r>
      <w:r>
        <w:rPr>
          <w:rFonts w:hint="default" w:ascii="Times New Roman" w:hAnsi="Times New Roman" w:cs="Times New Roman"/>
          <w:sz w:val="28"/>
          <w:szCs w:val="28"/>
        </w:rPr>
        <w:t>/</w:t>
      </w:r>
      <w:r>
        <w:rPr>
          <w:rFonts w:hint="default" w:ascii="Times New Roman" w:hAnsi="Times New Roman" w:cs="Times New Roman"/>
          <w:i/>
          <w:spacing w:val="-1"/>
          <w:sz w:val="28"/>
          <w:szCs w:val="28"/>
        </w:rPr>
        <w:t>V</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0EAC0D58">
      <w:pPr>
        <w:pStyle w:val="6"/>
        <w:keepNext w:val="0"/>
        <w:keepLines w:val="0"/>
        <w:pageBreakBefore w:val="0"/>
        <w:kinsoku/>
        <w:wordWrap/>
        <w:overflowPunct/>
        <w:topLinePunct w:val="0"/>
        <w:autoSpaceDE/>
        <w:autoSpaceDN/>
        <w:bidi w:val="0"/>
        <w:adjustRightInd w:val="0"/>
        <w:snapToGrid/>
        <w:spacing w:line="240" w:lineRule="auto"/>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spacing w:val="-29"/>
          <w:sz w:val="28"/>
          <w:szCs w:val="28"/>
        </w:rPr>
        <w:t>：</w:t>
      </w:r>
      <w:r>
        <w:rPr>
          <w:rFonts w:hint="default" w:ascii="Times New Roman" w:hAnsi="Times New Roman" w:cs="Times New Roman"/>
          <w:i/>
          <w:sz w:val="28"/>
          <w:szCs w:val="28"/>
        </w:rPr>
        <w:t>q1a1</w:t>
      </w:r>
      <w:r>
        <w:rPr>
          <w:rFonts w:hint="default" w:ascii="Times New Roman" w:hAnsi="Times New Roman" w:cs="Times New Roman"/>
          <w:i/>
          <w:spacing w:val="-1"/>
          <w:sz w:val="28"/>
          <w:szCs w:val="28"/>
        </w:rPr>
        <w:t>──</w:t>
      </w:r>
      <w:r>
        <w:rPr>
          <w:rFonts w:hint="default" w:ascii="Times New Roman" w:hAnsi="Times New Roman" w:cs="Times New Roman"/>
          <w:bCs/>
          <w:sz w:val="28"/>
          <w:szCs w:val="28"/>
        </w:rPr>
        <w:t>柱、墙采用受力钢筋与免拆模板形成一体的中空预制构件</w:t>
      </w:r>
      <w:r>
        <w:rPr>
          <w:rFonts w:hint="default" w:ascii="Times New Roman" w:hAnsi="Times New Roman" w:cs="Times New Roman"/>
          <w:sz w:val="28"/>
          <w:szCs w:val="28"/>
        </w:rPr>
        <w:t>的应用比例；</w:t>
      </w:r>
    </w:p>
    <w:p w14:paraId="2DC5A71B">
      <w:pPr>
        <w:pStyle w:val="6"/>
        <w:keepNext w:val="0"/>
        <w:keepLines w:val="0"/>
        <w:pageBreakBefore w:val="0"/>
        <w:kinsoku/>
        <w:wordWrap/>
        <w:overflowPunct/>
        <w:topLinePunct w:val="0"/>
        <w:autoSpaceDE/>
        <w:autoSpaceDN/>
        <w:bidi w:val="0"/>
        <w:adjustRightInd w:val="0"/>
        <w:snapToGrid/>
        <w:spacing w:line="240" w:lineRule="auto"/>
        <w:ind w:right="237"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V1a1</w:t>
      </w:r>
      <w:r>
        <w:rPr>
          <w:rFonts w:hint="default" w:ascii="Times New Roman" w:hAnsi="Times New Roman" w:cs="Times New Roman"/>
          <w:i/>
          <w:spacing w:val="-1"/>
          <w:sz w:val="28"/>
          <w:szCs w:val="28"/>
        </w:rPr>
        <w:t>──</w:t>
      </w:r>
      <w:r>
        <w:rPr>
          <w:rFonts w:hint="default" w:ascii="Times New Roman" w:hAnsi="Times New Roman" w:cs="Times New Roman"/>
          <w:bCs/>
          <w:sz w:val="28"/>
          <w:szCs w:val="28"/>
        </w:rPr>
        <w:t>柱、墙采用受力钢筋与免拆模板形成一体的中空预制构件</w:t>
      </w:r>
      <w:r>
        <w:rPr>
          <w:rFonts w:hint="default" w:ascii="Times New Roman" w:hAnsi="Times New Roman" w:cs="Times New Roman"/>
          <w:sz w:val="28"/>
          <w:szCs w:val="28"/>
        </w:rPr>
        <w:t>体积之和（含标准4.2.2规定的后浇混凝土）；</w:t>
      </w:r>
    </w:p>
    <w:p w14:paraId="020B1955">
      <w:pPr>
        <w:keepNext w:val="0"/>
        <w:keepLines w:val="0"/>
        <w:pageBreakBefore w:val="0"/>
        <w:kinsoku/>
        <w:wordWrap/>
        <w:overflowPunct/>
        <w:topLinePunct w:val="0"/>
        <w:autoSpaceDE/>
        <w:autoSpaceDN/>
        <w:bidi w:val="0"/>
        <w:snapToGrid/>
        <w:spacing w:line="240" w:lineRule="auto"/>
        <w:ind w:left="2" w:firstLine="556" w:firstLineChars="200"/>
        <w:textAlignment w:val="auto"/>
        <w:rPr>
          <w:rFonts w:hint="default" w:ascii="Times New Roman" w:hAnsi="Times New Roman" w:cs="Times New Roman"/>
          <w:bCs/>
          <w:kern w:val="0"/>
          <w:sz w:val="28"/>
          <w:szCs w:val="28"/>
          <w:lang w:val="zh-CN"/>
        </w:rPr>
      </w:pPr>
      <w:r>
        <w:rPr>
          <w:rFonts w:hint="default" w:ascii="Times New Roman" w:hAnsi="Times New Roman" w:cs="Times New Roman"/>
          <w:i/>
          <w:spacing w:val="-1"/>
          <w:sz w:val="28"/>
          <w:szCs w:val="28"/>
        </w:rPr>
        <w:t>V──</w:t>
      </w:r>
      <w:r>
        <w:rPr>
          <w:rFonts w:hint="default" w:ascii="Times New Roman" w:hAnsi="Times New Roman" w:cs="Times New Roman"/>
          <w:sz w:val="28"/>
          <w:szCs w:val="28"/>
        </w:rPr>
        <w:t>柱、支撑、承重墙、延性墙板等主体结构竖向构件混凝土总体积。</w:t>
      </w:r>
    </w:p>
    <w:p w14:paraId="0C4C047A">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3.主体结构为装配式钢结构或钢</w:t>
      </w:r>
      <w:r>
        <w:rPr>
          <w:rFonts w:hint="eastAsia" w:cs="Times New Roman"/>
          <w:bCs/>
          <w:sz w:val="28"/>
          <w:szCs w:val="28"/>
          <w:lang w:eastAsia="zh-CN"/>
        </w:rPr>
        <w:t>－</w:t>
      </w:r>
      <w:r>
        <w:rPr>
          <w:rFonts w:hint="default" w:ascii="Times New Roman" w:hAnsi="Times New Roman" w:cs="Times New Roman"/>
          <w:bCs/>
          <w:sz w:val="28"/>
          <w:szCs w:val="28"/>
        </w:rPr>
        <w:t>混凝土混合结构时，评价项分值计算：</w:t>
      </w:r>
    </w:p>
    <w:p w14:paraId="7297917D">
      <w:pPr>
        <w:keepNext w:val="0"/>
        <w:keepLines w:val="0"/>
        <w:pageBreakBefore w:val="0"/>
        <w:tabs>
          <w:tab w:val="left" w:pos="7350"/>
        </w:tabs>
        <w:kinsoku/>
        <w:wordWrap/>
        <w:overflowPunct/>
        <w:topLinePunct w:val="0"/>
        <w:autoSpaceDE/>
        <w:autoSpaceDN/>
        <w:bidi w:val="0"/>
        <w:adjustRightInd w:val="0"/>
        <w:snapToGrid/>
        <w:spacing w:line="240" w:lineRule="auto"/>
        <w:ind w:left="3537"/>
        <w:textAlignment w:val="auto"/>
        <w:rPr>
          <w:rFonts w:hint="default" w:ascii="Times New Roman" w:hAnsi="Times New Roman" w:cs="Times New Roman"/>
          <w:sz w:val="28"/>
          <w:szCs w:val="28"/>
        </w:rPr>
      </w:pPr>
      <w:r>
        <w:rPr>
          <w:rFonts w:hint="default" w:ascii="Times New Roman" w:hAnsi="Times New Roman" w:cs="Times New Roman"/>
          <w:i/>
          <w:sz w:val="28"/>
          <w:szCs w:val="28"/>
        </w:rPr>
        <w:t>q1a2=V1a2</w:t>
      </w:r>
      <w:r>
        <w:rPr>
          <w:rFonts w:hint="default" w:ascii="Times New Roman" w:hAnsi="Times New Roman" w:cs="Times New Roman"/>
          <w:sz w:val="28"/>
          <w:szCs w:val="28"/>
        </w:rPr>
        <w:t>/</w:t>
      </w:r>
      <w:r>
        <w:rPr>
          <w:rFonts w:hint="default" w:ascii="Times New Roman" w:hAnsi="Times New Roman" w:cs="Times New Roman"/>
          <w:i/>
          <w:spacing w:val="-1"/>
          <w:sz w:val="28"/>
          <w:szCs w:val="28"/>
        </w:rPr>
        <w:t>V</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63E699A9">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spacing w:val="-29"/>
          <w:sz w:val="28"/>
          <w:szCs w:val="28"/>
        </w:rPr>
        <w:t>：</w:t>
      </w:r>
      <w:r>
        <w:rPr>
          <w:rFonts w:hint="default" w:ascii="Times New Roman" w:hAnsi="Times New Roman" w:cs="Times New Roman"/>
          <w:i/>
          <w:sz w:val="28"/>
          <w:szCs w:val="28"/>
        </w:rPr>
        <w:t>q1a2</w:t>
      </w:r>
      <w:r>
        <w:rPr>
          <w:rFonts w:hint="default" w:ascii="Times New Roman" w:hAnsi="Times New Roman" w:cs="Times New Roman"/>
          <w:i/>
          <w:spacing w:val="-1"/>
          <w:sz w:val="28"/>
          <w:szCs w:val="28"/>
        </w:rPr>
        <w:t>──</w:t>
      </w:r>
      <w:r>
        <w:rPr>
          <w:rFonts w:hint="default" w:ascii="Times New Roman" w:hAnsi="Times New Roman" w:cs="Times New Roman"/>
          <w:bCs/>
          <w:sz w:val="28"/>
          <w:szCs w:val="28"/>
        </w:rPr>
        <w:t>竖向构件采用钢构件</w:t>
      </w:r>
      <w:r>
        <w:rPr>
          <w:rFonts w:hint="default" w:ascii="Times New Roman" w:hAnsi="Times New Roman" w:cs="Times New Roman"/>
          <w:sz w:val="28"/>
          <w:szCs w:val="28"/>
        </w:rPr>
        <w:t>的应用比例；</w:t>
      </w:r>
    </w:p>
    <w:p w14:paraId="45712820">
      <w:pPr>
        <w:pStyle w:val="6"/>
        <w:keepNext w:val="0"/>
        <w:keepLines w:val="0"/>
        <w:pageBreakBefore w:val="0"/>
        <w:kinsoku/>
        <w:wordWrap/>
        <w:overflowPunct/>
        <w:topLinePunct w:val="0"/>
        <w:autoSpaceDE/>
        <w:autoSpaceDN/>
        <w:bidi w:val="0"/>
        <w:adjustRightInd w:val="0"/>
        <w:snapToGrid/>
        <w:spacing w:line="240" w:lineRule="auto"/>
        <w:ind w:right="237"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V1a2</w:t>
      </w:r>
      <w:r>
        <w:rPr>
          <w:rFonts w:hint="default" w:ascii="Times New Roman" w:hAnsi="Times New Roman" w:cs="Times New Roman"/>
          <w:i/>
          <w:spacing w:val="-1"/>
          <w:sz w:val="28"/>
          <w:szCs w:val="28"/>
        </w:rPr>
        <w:t>──</w:t>
      </w:r>
      <w:r>
        <w:rPr>
          <w:rFonts w:hint="default" w:ascii="Times New Roman" w:hAnsi="Times New Roman" w:cs="Times New Roman"/>
          <w:bCs/>
          <w:sz w:val="28"/>
          <w:szCs w:val="28"/>
        </w:rPr>
        <w:t>竖向构件采用钢构件</w:t>
      </w:r>
      <w:r>
        <w:rPr>
          <w:rFonts w:hint="default" w:ascii="Times New Roman" w:hAnsi="Times New Roman" w:cs="Times New Roman"/>
          <w:sz w:val="28"/>
          <w:szCs w:val="28"/>
        </w:rPr>
        <w:t>体积之和；</w:t>
      </w:r>
    </w:p>
    <w:p w14:paraId="457611B0">
      <w:pPr>
        <w:keepNext w:val="0"/>
        <w:keepLines w:val="0"/>
        <w:pageBreakBefore w:val="0"/>
        <w:kinsoku/>
        <w:wordWrap/>
        <w:overflowPunct/>
        <w:topLinePunct w:val="0"/>
        <w:autoSpaceDE/>
        <w:autoSpaceDN/>
        <w:bidi w:val="0"/>
        <w:snapToGrid/>
        <w:spacing w:line="240" w:lineRule="auto"/>
        <w:ind w:firstLine="556" w:firstLineChars="200"/>
        <w:textAlignment w:val="auto"/>
        <w:rPr>
          <w:rFonts w:hint="default" w:ascii="Times New Roman" w:hAnsi="Times New Roman" w:cs="Times New Roman"/>
          <w:sz w:val="28"/>
          <w:szCs w:val="28"/>
        </w:rPr>
      </w:pPr>
      <w:r>
        <w:rPr>
          <w:rFonts w:hint="default" w:ascii="Times New Roman" w:hAnsi="Times New Roman" w:cs="Times New Roman"/>
          <w:i/>
          <w:spacing w:val="-1"/>
          <w:sz w:val="28"/>
          <w:szCs w:val="28"/>
        </w:rPr>
        <w:t>V ──</w:t>
      </w:r>
      <w:r>
        <w:rPr>
          <w:rFonts w:hint="default" w:ascii="Times New Roman" w:hAnsi="Times New Roman" w:cs="Times New Roman"/>
          <w:sz w:val="28"/>
          <w:szCs w:val="28"/>
        </w:rPr>
        <w:t>柱、支撑、承重墙、延性墙板等主体结构竖向构件</w:t>
      </w:r>
      <w:r>
        <w:rPr>
          <w:rFonts w:hint="default" w:ascii="Times New Roman" w:hAnsi="Times New Roman" w:cs="Times New Roman"/>
          <w:bCs/>
          <w:kern w:val="0"/>
          <w:sz w:val="28"/>
          <w:szCs w:val="28"/>
          <w:lang w:val="zh-CN"/>
        </w:rPr>
        <w:t>总体积。</w:t>
      </w:r>
    </w:p>
    <w:p w14:paraId="30DF9FE9">
      <w:pPr>
        <w:keepNext w:val="0"/>
        <w:keepLines w:val="0"/>
        <w:pageBreakBefore w:val="0"/>
        <w:widowControl/>
        <w:tabs>
          <w:tab w:val="left" w:pos="842"/>
        </w:tabs>
        <w:kinsoku/>
        <w:wordWrap/>
        <w:overflowPunct/>
        <w:topLinePunct w:val="0"/>
        <w:autoSpaceDE/>
        <w:autoSpaceDN/>
        <w:bidi w:val="0"/>
        <w:snapToGrid/>
        <w:spacing w:line="240" w:lineRule="auto"/>
        <w:ind w:firstLine="560" w:firstLineChars="200"/>
        <w:textAlignment w:val="auto"/>
        <w:rPr>
          <w:rFonts w:hint="eastAsia" w:ascii="Times New Roman" w:hAnsi="Times New Roman" w:eastAsia="仿宋_GB2312" w:cs="Times New Roman"/>
          <w:bCs/>
          <w:sz w:val="28"/>
          <w:szCs w:val="28"/>
          <w:lang w:eastAsia="zh-CN"/>
        </w:rPr>
      </w:pPr>
      <w:r>
        <w:rPr>
          <w:rFonts w:hint="default" w:ascii="Times New Roman" w:hAnsi="Times New Roman" w:cs="Times New Roman"/>
          <w:bCs/>
          <w:sz w:val="28"/>
          <w:szCs w:val="28"/>
        </w:rPr>
        <w:t>（1）竖向构件全部采用钢构件，即</w:t>
      </w:r>
      <w:r>
        <w:rPr>
          <w:rFonts w:hint="default" w:ascii="Times New Roman" w:hAnsi="Times New Roman" w:cs="Times New Roman"/>
          <w:i/>
          <w:sz w:val="28"/>
          <w:szCs w:val="28"/>
        </w:rPr>
        <w:t>q1a2</w:t>
      </w:r>
      <w:r>
        <w:rPr>
          <w:rFonts w:hint="default" w:ascii="Times New Roman" w:hAnsi="Times New Roman" w:cs="Times New Roman"/>
          <w:spacing w:val="-1"/>
          <w:sz w:val="28"/>
          <w:szCs w:val="28"/>
        </w:rPr>
        <w:t>=100%时，</w:t>
      </w:r>
      <w:r>
        <w:rPr>
          <w:rFonts w:hint="default" w:ascii="Times New Roman" w:hAnsi="Times New Roman" w:cs="Times New Roman"/>
          <w:bCs/>
          <w:sz w:val="28"/>
          <w:szCs w:val="28"/>
        </w:rPr>
        <w:t>评价项分值得30分</w:t>
      </w:r>
      <w:r>
        <w:rPr>
          <w:rFonts w:hint="eastAsia" w:cs="Times New Roman"/>
          <w:bCs/>
          <w:sz w:val="28"/>
          <w:szCs w:val="28"/>
          <w:lang w:eastAsia="zh-CN"/>
        </w:rPr>
        <w:t>；</w:t>
      </w:r>
    </w:p>
    <w:p w14:paraId="6A315899">
      <w:pPr>
        <w:keepNext w:val="0"/>
        <w:keepLines w:val="0"/>
        <w:pageBreakBefore w:val="0"/>
        <w:widowControl/>
        <w:tabs>
          <w:tab w:val="left" w:pos="842"/>
        </w:tabs>
        <w:kinsoku/>
        <w:wordWrap/>
        <w:overflowPunct/>
        <w:topLinePunct w:val="0"/>
        <w:autoSpaceDE/>
        <w:autoSpaceDN/>
        <w:bidi w:val="0"/>
        <w:snapToGrid/>
        <w:spacing w:line="240" w:lineRule="auto"/>
        <w:ind w:firstLine="560" w:firstLineChars="200"/>
        <w:textAlignment w:val="auto"/>
        <w:rPr>
          <w:rFonts w:hint="eastAsia" w:ascii="Times New Roman" w:hAnsi="Times New Roman" w:eastAsia="仿宋_GB2312" w:cs="Times New Roman"/>
          <w:bCs/>
          <w:sz w:val="28"/>
          <w:szCs w:val="28"/>
          <w:lang w:eastAsia="zh-CN"/>
        </w:rPr>
      </w:pPr>
      <w:r>
        <w:rPr>
          <w:rFonts w:hint="default" w:ascii="Times New Roman" w:hAnsi="Times New Roman" w:cs="Times New Roman"/>
          <w:bCs/>
          <w:sz w:val="28"/>
          <w:szCs w:val="28"/>
        </w:rPr>
        <w:t>（2）框架柱采用钢柱或外包钢</w:t>
      </w:r>
      <w:r>
        <w:rPr>
          <w:rFonts w:hint="eastAsia" w:cs="Times New Roman"/>
          <w:bCs/>
          <w:sz w:val="28"/>
          <w:szCs w:val="28"/>
          <w:lang w:eastAsia="zh-CN"/>
        </w:rPr>
        <w:t>－</w:t>
      </w:r>
      <w:r>
        <w:rPr>
          <w:rFonts w:hint="default" w:ascii="Times New Roman" w:hAnsi="Times New Roman" w:cs="Times New Roman"/>
          <w:bCs/>
          <w:sz w:val="28"/>
          <w:szCs w:val="28"/>
        </w:rPr>
        <w:t>混凝土组合柱，剪力墙采用外包钢</w:t>
      </w:r>
      <w:r>
        <w:rPr>
          <w:rFonts w:hint="eastAsia" w:cs="Times New Roman"/>
          <w:bCs/>
          <w:sz w:val="28"/>
          <w:szCs w:val="28"/>
          <w:lang w:eastAsia="zh-CN"/>
        </w:rPr>
        <w:t>－</w:t>
      </w:r>
      <w:r>
        <w:rPr>
          <w:rFonts w:hint="default" w:ascii="Times New Roman" w:hAnsi="Times New Roman" w:cs="Times New Roman"/>
          <w:bCs/>
          <w:sz w:val="28"/>
          <w:szCs w:val="28"/>
        </w:rPr>
        <w:t>混凝土组合剪力墙，评价项分值得25分</w:t>
      </w:r>
      <w:r>
        <w:rPr>
          <w:rFonts w:hint="eastAsia" w:cs="Times New Roman"/>
          <w:bCs/>
          <w:sz w:val="28"/>
          <w:szCs w:val="28"/>
          <w:lang w:eastAsia="zh-CN"/>
        </w:rPr>
        <w:t>；</w:t>
      </w:r>
    </w:p>
    <w:p w14:paraId="60446916">
      <w:pPr>
        <w:keepNext w:val="0"/>
        <w:keepLines w:val="0"/>
        <w:pageBreakBefore w:val="0"/>
        <w:widowControl/>
        <w:tabs>
          <w:tab w:val="left" w:pos="842"/>
        </w:tabs>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（3）框架柱采用钢柱或外包钢</w:t>
      </w:r>
      <w:r>
        <w:rPr>
          <w:rFonts w:hint="eastAsia" w:cs="Times New Roman"/>
          <w:bCs/>
          <w:sz w:val="28"/>
          <w:szCs w:val="28"/>
          <w:lang w:eastAsia="zh-CN"/>
        </w:rPr>
        <w:t>－</w:t>
      </w:r>
      <w:r>
        <w:rPr>
          <w:rFonts w:hint="default" w:ascii="Times New Roman" w:hAnsi="Times New Roman" w:cs="Times New Roman"/>
          <w:bCs/>
          <w:sz w:val="28"/>
          <w:szCs w:val="28"/>
        </w:rPr>
        <w:t>混凝土组合柱，剪力墙采用混凝土剪力墙（含型钢混凝土剪力墙、型钢</w:t>
      </w:r>
      <w:r>
        <w:rPr>
          <w:rFonts w:hint="eastAsia" w:cs="Times New Roman"/>
          <w:bCs/>
          <w:sz w:val="28"/>
          <w:szCs w:val="28"/>
          <w:lang w:eastAsia="zh-CN"/>
        </w:rPr>
        <w:t>（</w:t>
      </w:r>
      <w:r>
        <w:rPr>
          <w:rFonts w:hint="default" w:ascii="Times New Roman" w:hAnsi="Times New Roman" w:cs="Times New Roman"/>
          <w:bCs/>
          <w:sz w:val="28"/>
          <w:szCs w:val="28"/>
        </w:rPr>
        <w:t>钢管</w:t>
      </w:r>
      <w:r>
        <w:rPr>
          <w:rFonts w:hint="eastAsia" w:cs="Times New Roman"/>
          <w:bCs/>
          <w:sz w:val="28"/>
          <w:szCs w:val="28"/>
          <w:lang w:eastAsia="zh-CN"/>
        </w:rPr>
        <w:t>）</w:t>
      </w:r>
      <w:r>
        <w:rPr>
          <w:rFonts w:hint="default" w:ascii="Times New Roman" w:hAnsi="Times New Roman" w:cs="Times New Roman"/>
          <w:bCs/>
          <w:sz w:val="28"/>
          <w:szCs w:val="28"/>
        </w:rPr>
        <w:t>混凝土剪力墙、内藏钢板混凝土剪力墙、带钢斜撑混凝土剪力墙），评价项分值得20分。</w:t>
      </w:r>
    </w:p>
    <w:p w14:paraId="1617B240">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4.梁、板、楼梯、阳台、空调板等构件预制部品部件应用比例计算：</w:t>
      </w:r>
    </w:p>
    <w:p w14:paraId="4DB94BF5">
      <w:pPr>
        <w:keepNext w:val="0"/>
        <w:keepLines w:val="0"/>
        <w:pageBreakBefore w:val="0"/>
        <w:tabs>
          <w:tab w:val="left" w:pos="7350"/>
        </w:tabs>
        <w:kinsoku/>
        <w:wordWrap/>
        <w:overflowPunct/>
        <w:topLinePunct w:val="0"/>
        <w:autoSpaceDE/>
        <w:autoSpaceDN/>
        <w:bidi w:val="0"/>
        <w:adjustRightInd w:val="0"/>
        <w:snapToGrid/>
        <w:spacing w:line="240" w:lineRule="auto"/>
        <w:ind w:left="3538"/>
        <w:textAlignment w:val="auto"/>
        <w:rPr>
          <w:rFonts w:hint="default" w:ascii="Times New Roman" w:hAnsi="Times New Roman" w:cs="Times New Roman"/>
          <w:i/>
          <w:sz w:val="28"/>
          <w:szCs w:val="28"/>
        </w:rPr>
      </w:pPr>
      <w:r>
        <w:rPr>
          <w:rFonts w:hint="default" w:ascii="Times New Roman" w:hAnsi="Times New Roman" w:cs="Times New Roman"/>
          <w:i/>
          <w:sz w:val="28"/>
          <w:szCs w:val="28"/>
        </w:rPr>
        <w:t>q1b=A1b/A×100%</w:t>
      </w:r>
    </w:p>
    <w:p w14:paraId="073EC8D9">
      <w:pPr>
        <w:pStyle w:val="6"/>
        <w:keepNext w:val="0"/>
        <w:keepLines w:val="0"/>
        <w:pageBreakBefore w:val="0"/>
        <w:kinsoku/>
        <w:wordWrap/>
        <w:overflowPunct/>
        <w:topLinePunct w:val="0"/>
        <w:autoSpaceDE/>
        <w:autoSpaceDN/>
        <w:bidi w:val="0"/>
        <w:adjustRightInd w:val="0"/>
        <w:snapToGrid/>
        <w:spacing w:line="240" w:lineRule="auto"/>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q1b</w:t>
      </w:r>
      <w:r>
        <w:rPr>
          <w:rFonts w:hint="default" w:ascii="Times New Roman" w:hAnsi="Times New Roman" w:cs="Times New Roman"/>
          <w:i/>
          <w:spacing w:val="-1"/>
          <w:sz w:val="28"/>
          <w:szCs w:val="28"/>
        </w:rPr>
        <w:t>──</w:t>
      </w:r>
      <w:r>
        <w:rPr>
          <w:rFonts w:hint="default" w:ascii="Times New Roman" w:hAnsi="Times New Roman" w:cs="Times New Roman"/>
          <w:sz w:val="28"/>
          <w:szCs w:val="28"/>
        </w:rPr>
        <w:t>梁、板、楼梯、阳台、空调板等构件中预制部品部件的应用比例；</w:t>
      </w:r>
    </w:p>
    <w:p w14:paraId="18CDA5B4">
      <w:pPr>
        <w:pStyle w:val="6"/>
        <w:keepNext w:val="0"/>
        <w:keepLines w:val="0"/>
        <w:pageBreakBefore w:val="0"/>
        <w:kinsoku/>
        <w:wordWrap/>
        <w:overflowPunct/>
        <w:topLinePunct w:val="0"/>
        <w:autoSpaceDE/>
        <w:autoSpaceDN/>
        <w:bidi w:val="0"/>
        <w:adjustRightInd w:val="0"/>
        <w:snapToGrid/>
        <w:spacing w:line="240" w:lineRule="auto"/>
        <w:ind w:right="237"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A1b</w:t>
      </w:r>
      <w:r>
        <w:rPr>
          <w:rFonts w:hint="default" w:ascii="Times New Roman" w:hAnsi="Times New Roman" w:cs="Times New Roman"/>
          <w:i/>
          <w:spacing w:val="-1"/>
          <w:sz w:val="28"/>
          <w:szCs w:val="28"/>
        </w:rPr>
        <w:t>──</w:t>
      </w:r>
      <w:r>
        <w:rPr>
          <w:rFonts w:hint="default" w:ascii="Times New Roman" w:hAnsi="Times New Roman" w:cs="Times New Roman"/>
          <w:sz w:val="28"/>
          <w:szCs w:val="28"/>
        </w:rPr>
        <w:t xml:space="preserve">预制装配梁（包括采用受力钢筋与免拆模板形成一体的中空梁预制件）、板（含屋面板）、楼梯、阳台、空调板（悬挑板）等水平构件的水平投影面积之和； </w:t>
      </w:r>
    </w:p>
    <w:p w14:paraId="284EC701">
      <w:pPr>
        <w:pStyle w:val="6"/>
        <w:keepNext w:val="0"/>
        <w:keepLines w:val="0"/>
        <w:pageBreakBefore w:val="0"/>
        <w:kinsoku/>
        <w:wordWrap/>
        <w:overflowPunct/>
        <w:topLinePunct w:val="0"/>
        <w:autoSpaceDE/>
        <w:autoSpaceDN/>
        <w:bidi w:val="0"/>
        <w:adjustRightInd w:val="0"/>
        <w:snapToGrid/>
        <w:spacing w:line="240" w:lineRule="auto"/>
        <w:ind w:right="237"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w:t>
      </w:r>
      <w:r>
        <w:rPr>
          <w:rFonts w:hint="default" w:ascii="Times New Roman" w:hAnsi="Times New Roman" w:cs="Times New Roman"/>
          <w:sz w:val="28"/>
          <w:szCs w:val="28"/>
        </w:rPr>
        <w:t>梁、楼板（含屋面板）、楼梯、阳台和空调板等构件的水平投影面积之和。</w:t>
      </w:r>
    </w:p>
    <w:p w14:paraId="1F7192D5">
      <w:pPr>
        <w:pStyle w:val="6"/>
        <w:keepNext w:val="0"/>
        <w:keepLines w:val="0"/>
        <w:pageBreakBefore w:val="0"/>
        <w:kinsoku/>
        <w:wordWrap/>
        <w:overflowPunct/>
        <w:topLinePunct w:val="0"/>
        <w:autoSpaceDE/>
        <w:autoSpaceDN/>
        <w:bidi w:val="0"/>
        <w:adjustRightInd w:val="0"/>
        <w:snapToGrid/>
        <w:spacing w:line="240" w:lineRule="auto"/>
        <w:ind w:right="237"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（二）围护墙和内隔墙评价分值Q2计算</w:t>
      </w:r>
    </w:p>
    <w:p w14:paraId="1196D309">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1.非承重围护墙中非砌筑墙体的应用比例计算：</w:t>
      </w:r>
    </w:p>
    <w:p w14:paraId="03CB5365">
      <w:pPr>
        <w:keepNext w:val="0"/>
        <w:keepLines w:val="0"/>
        <w:pageBreakBefore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i/>
          <w:kern w:val="0"/>
          <w:sz w:val="28"/>
          <w:szCs w:val="28"/>
        </w:rPr>
      </w:pPr>
      <w:r>
        <w:rPr>
          <w:rFonts w:hint="default" w:ascii="Times New Roman" w:hAnsi="Times New Roman" w:cs="Times New Roman"/>
          <w:i/>
          <w:sz w:val="28"/>
          <w:szCs w:val="28"/>
        </w:rPr>
        <w:t>q2a=A2a/Aw1</w:t>
      </w:r>
      <w:r>
        <w:rPr>
          <w:rFonts w:hint="default" w:ascii="Times New Roman" w:hAnsi="Times New Roman" w:cs="Times New Roman"/>
          <w:i/>
          <w:kern w:val="0"/>
          <w:sz w:val="28"/>
          <w:szCs w:val="28"/>
        </w:rPr>
        <w:t>×100%</w:t>
      </w:r>
    </w:p>
    <w:p w14:paraId="6D7646A4">
      <w:pPr>
        <w:keepNext w:val="0"/>
        <w:keepLines w:val="0"/>
        <w:pageBreakBefore w:val="0"/>
        <w:kinsoku/>
        <w:wordWrap/>
        <w:overflowPunct/>
        <w:topLinePunct w:val="0"/>
        <w:autoSpaceDE/>
        <w:autoSpaceDN/>
        <w:bidi w:val="0"/>
        <w:adjustRightInd w:val="0"/>
        <w:snapToGrid/>
        <w:spacing w:line="240" w:lineRule="auto"/>
        <w:ind w:firstLine="560" w:firstLineChars="200"/>
        <w:jc w:val="lef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式中：</w:t>
      </w:r>
      <w:r>
        <w:rPr>
          <w:rFonts w:hint="default" w:ascii="Times New Roman" w:hAnsi="Times New Roman" w:cs="Times New Roman"/>
          <w:i/>
          <w:sz w:val="28"/>
          <w:szCs w:val="28"/>
        </w:rPr>
        <w:t>q2a</w:t>
      </w:r>
      <w:r>
        <w:rPr>
          <w:rFonts w:hint="default" w:ascii="Times New Roman" w:hAnsi="Times New Roman" w:cs="Times New Roman"/>
          <w:i/>
          <w:spacing w:val="-1"/>
          <w:sz w:val="28"/>
          <w:szCs w:val="28"/>
        </w:rPr>
        <w:t>──</w:t>
      </w:r>
      <w:r>
        <w:rPr>
          <w:rFonts w:hint="default" w:ascii="Times New Roman" w:hAnsi="Times New Roman" w:cs="Times New Roman"/>
          <w:bCs/>
          <w:sz w:val="28"/>
          <w:szCs w:val="28"/>
        </w:rPr>
        <w:t>非承重围护墙中非砌筑墙体的应用比例；</w:t>
      </w:r>
    </w:p>
    <w:p w14:paraId="17E28051">
      <w:pPr>
        <w:pStyle w:val="6"/>
        <w:keepNext w:val="0"/>
        <w:keepLines w:val="0"/>
        <w:pageBreakBefore w:val="0"/>
        <w:kinsoku/>
        <w:wordWrap/>
        <w:overflowPunct/>
        <w:topLinePunct w:val="0"/>
        <w:autoSpaceDE/>
        <w:autoSpaceDN/>
        <w:bidi w:val="0"/>
        <w:adjustRightInd w:val="0"/>
        <w:snapToGrid/>
        <w:spacing w:line="240" w:lineRule="auto"/>
        <w:ind w:right="237" w:firstLine="560" w:firstLineChars="200"/>
        <w:textAlignment w:val="auto"/>
        <w:rPr>
          <w:rFonts w:hint="default" w:ascii="Times New Roman" w:hAnsi="Times New Roman" w:cs="Times New Roman"/>
          <w:bCs/>
          <w:sz w:val="28"/>
          <w:szCs w:val="28"/>
        </w:rPr>
      </w:pPr>
      <w:r>
        <w:rPr>
          <w:rFonts w:hint="default" w:ascii="Times New Roman" w:hAnsi="Times New Roman" w:cs="Times New Roman"/>
          <w:i/>
          <w:sz w:val="28"/>
          <w:szCs w:val="28"/>
        </w:rPr>
        <w:t>A2a──</w:t>
      </w:r>
      <w:r>
        <w:rPr>
          <w:rFonts w:hint="default" w:ascii="Times New Roman" w:hAnsi="Times New Roman" w:cs="Times New Roman"/>
          <w:bCs/>
          <w:sz w:val="28"/>
          <w:szCs w:val="28"/>
        </w:rPr>
        <w:t>各楼层非承重围护墙中非砌筑墙体的外表面积之和，计算时可不扣除门、窗及预留洞口等的面积；</w:t>
      </w:r>
    </w:p>
    <w:p w14:paraId="731CD53C">
      <w:pPr>
        <w:pStyle w:val="6"/>
        <w:keepNext w:val="0"/>
        <w:keepLines w:val="0"/>
        <w:pageBreakBefore w:val="0"/>
        <w:kinsoku/>
        <w:wordWrap/>
        <w:overflowPunct/>
        <w:topLinePunct w:val="0"/>
        <w:autoSpaceDE/>
        <w:autoSpaceDN/>
        <w:bidi w:val="0"/>
        <w:adjustRightInd w:val="0"/>
        <w:snapToGrid/>
        <w:spacing w:line="240" w:lineRule="auto"/>
        <w:ind w:right="237" w:firstLine="560" w:firstLineChars="200"/>
        <w:textAlignment w:val="auto"/>
        <w:rPr>
          <w:rFonts w:hint="default" w:ascii="Times New Roman" w:hAnsi="Times New Roman" w:cs="Times New Roman"/>
          <w:i/>
          <w:sz w:val="28"/>
          <w:szCs w:val="28"/>
        </w:rPr>
      </w:pPr>
      <w:r>
        <w:rPr>
          <w:rFonts w:hint="default" w:ascii="Times New Roman" w:hAnsi="Times New Roman" w:cs="Times New Roman"/>
          <w:i/>
          <w:sz w:val="28"/>
          <w:szCs w:val="28"/>
        </w:rPr>
        <w:t>Aw1──</w:t>
      </w:r>
      <w:r>
        <w:rPr>
          <w:rFonts w:hint="default" w:ascii="Times New Roman" w:hAnsi="Times New Roman" w:cs="Times New Roman"/>
          <w:bCs/>
          <w:sz w:val="28"/>
          <w:szCs w:val="28"/>
        </w:rPr>
        <w:t>各楼层非承重围护墙外表面总面积，计算时可不扣除门、窗及预留洞口等的面积。</w:t>
      </w:r>
    </w:p>
    <w:p w14:paraId="0709724D">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2.围护墙采用墙体、保温、隔热、装饰集成一体化的应用比例计算：</w:t>
      </w:r>
    </w:p>
    <w:p w14:paraId="022764D1">
      <w:pPr>
        <w:keepNext w:val="0"/>
        <w:keepLines w:val="0"/>
        <w:pageBreakBefore w:val="0"/>
        <w:tabs>
          <w:tab w:val="left" w:pos="7384"/>
        </w:tabs>
        <w:kinsoku/>
        <w:wordWrap/>
        <w:overflowPunct/>
        <w:topLinePunct w:val="0"/>
        <w:autoSpaceDE/>
        <w:autoSpaceDN/>
        <w:bidi w:val="0"/>
        <w:adjustRightInd w:val="0"/>
        <w:snapToGrid/>
        <w:spacing w:line="240" w:lineRule="auto"/>
        <w:ind w:left="3240"/>
        <w:textAlignment w:val="auto"/>
        <w:rPr>
          <w:rFonts w:hint="default" w:ascii="Times New Roman" w:hAnsi="Times New Roman" w:cs="Times New Roman"/>
          <w:sz w:val="28"/>
          <w:szCs w:val="28"/>
        </w:rPr>
      </w:pPr>
      <w:r>
        <w:rPr>
          <w:rFonts w:hint="default" w:ascii="Times New Roman" w:hAnsi="Times New Roman" w:cs="Times New Roman"/>
          <w:i/>
          <w:sz w:val="28"/>
          <w:szCs w:val="28"/>
        </w:rPr>
        <w:t>q2b=A2b/Aw2</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4095E22B">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q2b</w:t>
      </w:r>
      <w:r>
        <w:rPr>
          <w:rFonts w:hint="default" w:ascii="Times New Roman" w:hAnsi="Times New Roman" w:cs="Times New Roman"/>
          <w:i/>
          <w:spacing w:val="-1"/>
          <w:sz w:val="28"/>
          <w:szCs w:val="28"/>
        </w:rPr>
        <w:t>──</w:t>
      </w:r>
      <w:r>
        <w:rPr>
          <w:rFonts w:hint="default" w:ascii="Times New Roman" w:hAnsi="Times New Roman" w:cs="Times New Roman"/>
          <w:sz w:val="28"/>
          <w:szCs w:val="28"/>
        </w:rPr>
        <w:t xml:space="preserve">围护墙采用墙体、保温、隔热、装饰一体化的应用比例； </w:t>
      </w:r>
    </w:p>
    <w:p w14:paraId="36EDF9B5">
      <w:pPr>
        <w:pStyle w:val="6"/>
        <w:keepNext w:val="0"/>
        <w:keepLines w:val="0"/>
        <w:pageBreakBefore w:val="0"/>
        <w:kinsoku/>
        <w:wordWrap/>
        <w:overflowPunct/>
        <w:topLinePunct w:val="0"/>
        <w:autoSpaceDE/>
        <w:autoSpaceDN/>
        <w:bidi w:val="0"/>
        <w:adjustRightInd w:val="0"/>
        <w:snapToGrid/>
        <w:spacing w:line="240" w:lineRule="auto"/>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i/>
          <w:sz w:val="28"/>
          <w:szCs w:val="28"/>
        </w:rPr>
        <w:t>A2b</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各楼层采用</w:t>
      </w:r>
      <w:r>
        <w:rPr>
          <w:rFonts w:hint="default" w:ascii="Times New Roman" w:hAnsi="Times New Roman" w:cs="Times New Roman"/>
          <w:spacing w:val="-3"/>
          <w:sz w:val="28"/>
          <w:szCs w:val="28"/>
        </w:rPr>
        <w:t>墙</w:t>
      </w:r>
      <w:r>
        <w:rPr>
          <w:rFonts w:hint="default" w:ascii="Times New Roman" w:hAnsi="Times New Roman" w:cs="Times New Roman"/>
          <w:sz w:val="28"/>
          <w:szCs w:val="28"/>
        </w:rPr>
        <w:t>体</w:t>
      </w:r>
      <w:r>
        <w:rPr>
          <w:rFonts w:hint="default" w:ascii="Times New Roman" w:hAnsi="Times New Roman" w:cs="Times New Roman"/>
          <w:spacing w:val="-36"/>
          <w:sz w:val="28"/>
          <w:szCs w:val="28"/>
        </w:rPr>
        <w:t>、</w:t>
      </w:r>
      <w:r>
        <w:rPr>
          <w:rFonts w:hint="default" w:ascii="Times New Roman" w:hAnsi="Times New Roman" w:cs="Times New Roman"/>
          <w:sz w:val="28"/>
          <w:szCs w:val="28"/>
        </w:rPr>
        <w:t>保温</w:t>
      </w:r>
      <w:r>
        <w:rPr>
          <w:rFonts w:hint="default" w:ascii="Times New Roman" w:hAnsi="Times New Roman" w:cs="Times New Roman"/>
          <w:spacing w:val="-36"/>
          <w:sz w:val="28"/>
          <w:szCs w:val="28"/>
        </w:rPr>
        <w:t>、</w:t>
      </w:r>
      <w:r>
        <w:rPr>
          <w:rFonts w:hint="default" w:ascii="Times New Roman" w:hAnsi="Times New Roman" w:cs="Times New Roman"/>
          <w:sz w:val="28"/>
          <w:szCs w:val="28"/>
        </w:rPr>
        <w:t>隔热</w:t>
      </w:r>
      <w:r>
        <w:rPr>
          <w:rFonts w:hint="default" w:ascii="Times New Roman" w:hAnsi="Times New Roman" w:cs="Times New Roman"/>
          <w:spacing w:val="-36"/>
          <w:sz w:val="28"/>
          <w:szCs w:val="28"/>
        </w:rPr>
        <w:t>、</w:t>
      </w:r>
      <w:r>
        <w:rPr>
          <w:rFonts w:hint="default" w:ascii="Times New Roman" w:hAnsi="Times New Roman" w:cs="Times New Roman"/>
          <w:sz w:val="28"/>
          <w:szCs w:val="28"/>
        </w:rPr>
        <w:t>装</w:t>
      </w:r>
      <w:r>
        <w:rPr>
          <w:rFonts w:hint="default" w:ascii="Times New Roman" w:hAnsi="Times New Roman" w:cs="Times New Roman"/>
          <w:spacing w:val="2"/>
          <w:sz w:val="28"/>
          <w:szCs w:val="28"/>
        </w:rPr>
        <w:t>饰</w:t>
      </w:r>
      <w:r>
        <w:rPr>
          <w:rFonts w:hint="default" w:ascii="Times New Roman" w:hAnsi="Times New Roman" w:cs="Times New Roman"/>
          <w:sz w:val="28"/>
          <w:szCs w:val="28"/>
        </w:rPr>
        <w:t>一体化墙体外表面积之和，计算时可不扣除门、窗及预留洞口等的面积，可扣除承重竖向构件的面积；</w:t>
      </w:r>
    </w:p>
    <w:p w14:paraId="2EB94F00">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Aw2</w:t>
      </w:r>
      <w:r>
        <w:rPr>
          <w:rFonts w:hint="default" w:ascii="Times New Roman" w:hAnsi="Times New Roman" w:cs="Times New Roman"/>
          <w:i/>
          <w:spacing w:val="-1"/>
          <w:sz w:val="28"/>
          <w:szCs w:val="28"/>
        </w:rPr>
        <w:t>──</w:t>
      </w:r>
      <w:r>
        <w:rPr>
          <w:rFonts w:hint="default" w:ascii="Times New Roman" w:hAnsi="Times New Roman" w:cs="Times New Roman"/>
          <w:spacing w:val="-3"/>
          <w:sz w:val="28"/>
          <w:szCs w:val="28"/>
        </w:rPr>
        <w:t>各楼层围护墙外表面总面积，计算时可不扣除门、窗、预留洞口等的面积，</w:t>
      </w:r>
      <w:r>
        <w:rPr>
          <w:rFonts w:hint="default" w:ascii="Times New Roman" w:hAnsi="Times New Roman" w:cs="Times New Roman"/>
          <w:sz w:val="28"/>
          <w:szCs w:val="28"/>
        </w:rPr>
        <w:t>可扣除承重竖向构件的面积。</w:t>
      </w:r>
    </w:p>
    <w:p w14:paraId="2B60F7E4">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3.内隔墙中非砌筑墙体的应用比例计算：</w:t>
      </w:r>
    </w:p>
    <w:p w14:paraId="3B5F5BB3">
      <w:pPr>
        <w:keepNext w:val="0"/>
        <w:keepLines w:val="0"/>
        <w:pageBreakBefore w:val="0"/>
        <w:tabs>
          <w:tab w:val="left" w:pos="7020"/>
        </w:tabs>
        <w:kinsoku/>
        <w:wordWrap/>
        <w:overflowPunct/>
        <w:topLinePunct w:val="0"/>
        <w:autoSpaceDE/>
        <w:autoSpaceDN/>
        <w:bidi w:val="0"/>
        <w:adjustRightInd w:val="0"/>
        <w:snapToGrid/>
        <w:spacing w:line="240" w:lineRule="auto"/>
        <w:ind w:left="3254"/>
        <w:textAlignment w:val="auto"/>
        <w:rPr>
          <w:rFonts w:hint="default" w:ascii="Times New Roman" w:hAnsi="Times New Roman" w:cs="Times New Roman"/>
          <w:i/>
          <w:sz w:val="28"/>
          <w:szCs w:val="28"/>
        </w:rPr>
      </w:pPr>
      <w:r>
        <w:rPr>
          <w:rFonts w:hint="default" w:ascii="Times New Roman" w:hAnsi="Times New Roman" w:cs="Times New Roman"/>
          <w:i/>
          <w:sz w:val="28"/>
          <w:szCs w:val="28"/>
        </w:rPr>
        <w:t>q2c=A2c/Aw3×100%</w:t>
      </w:r>
      <w:r>
        <w:rPr>
          <w:rFonts w:hint="default" w:ascii="Times New Roman" w:hAnsi="Times New Roman" w:cs="Times New Roman"/>
          <w:i/>
          <w:sz w:val="28"/>
          <w:szCs w:val="28"/>
        </w:rPr>
        <w:tab/>
      </w:r>
    </w:p>
    <w:p w14:paraId="4B4C10C3">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spacing w:val="-1"/>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q2c</w:t>
      </w:r>
      <w:r>
        <w:rPr>
          <w:rFonts w:hint="default" w:ascii="Times New Roman" w:hAnsi="Times New Roman" w:cs="Times New Roman"/>
          <w:i/>
          <w:spacing w:val="-1"/>
          <w:sz w:val="28"/>
          <w:szCs w:val="28"/>
        </w:rPr>
        <w:t>──</w:t>
      </w:r>
      <w:r>
        <w:rPr>
          <w:rFonts w:hint="default" w:ascii="Times New Roman" w:hAnsi="Times New Roman" w:cs="Times New Roman"/>
          <w:sz w:val="28"/>
          <w:szCs w:val="28"/>
        </w:rPr>
        <w:t>内隔墙中非砌筑墙体的应用比例；</w:t>
      </w:r>
    </w:p>
    <w:p w14:paraId="5BC429DC">
      <w:pPr>
        <w:pStyle w:val="6"/>
        <w:keepNext w:val="0"/>
        <w:keepLines w:val="0"/>
        <w:pageBreakBefore w:val="0"/>
        <w:kinsoku/>
        <w:wordWrap/>
        <w:overflowPunct/>
        <w:topLinePunct w:val="0"/>
        <w:autoSpaceDE/>
        <w:autoSpaceDN/>
        <w:bidi w:val="0"/>
        <w:adjustRightInd w:val="0"/>
        <w:snapToGrid/>
        <w:spacing w:line="240" w:lineRule="auto"/>
        <w:ind w:firstLine="560" w:firstLineChars="200"/>
        <w:jc w:val="left"/>
        <w:textAlignment w:val="auto"/>
        <w:rPr>
          <w:rFonts w:hint="default" w:ascii="Times New Roman" w:hAnsi="Times New Roman" w:cs="Times New Roman"/>
          <w:i/>
          <w:spacing w:val="-1"/>
          <w:sz w:val="28"/>
          <w:szCs w:val="28"/>
        </w:rPr>
      </w:pPr>
      <w:r>
        <w:rPr>
          <w:rFonts w:hint="default" w:ascii="Times New Roman" w:hAnsi="Times New Roman" w:cs="Times New Roman"/>
          <w:i/>
          <w:sz w:val="28"/>
          <w:szCs w:val="28"/>
        </w:rPr>
        <w:t>A2c</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各楼层内隔墙中非砌筑墙体的墙体表面积之和，计算时可不扣除门、 窗及预留洞口等的面积；</w:t>
      </w:r>
    </w:p>
    <w:p w14:paraId="32488B6D">
      <w:pPr>
        <w:pStyle w:val="6"/>
        <w:keepNext w:val="0"/>
        <w:keepLines w:val="0"/>
        <w:pageBreakBefore w:val="0"/>
        <w:kinsoku/>
        <w:wordWrap/>
        <w:overflowPunct/>
        <w:topLinePunct w:val="0"/>
        <w:autoSpaceDE/>
        <w:autoSpaceDN/>
        <w:bidi w:val="0"/>
        <w:adjustRightInd w:val="0"/>
        <w:snapToGrid/>
        <w:spacing w:line="240" w:lineRule="auto"/>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i/>
          <w:sz w:val="28"/>
          <w:szCs w:val="28"/>
        </w:rPr>
        <w:t>Aw3</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各楼层内隔墙墙面总面积，计算时可不扣除门、窗、预留洞口等的面积。</w:t>
      </w:r>
    </w:p>
    <w:p w14:paraId="1E2340EE">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4.内隔墙采用墙体、管线、装修集成一体化的应用比例计算：</w:t>
      </w:r>
    </w:p>
    <w:p w14:paraId="6140B28D">
      <w:pPr>
        <w:keepNext w:val="0"/>
        <w:keepLines w:val="0"/>
        <w:pageBreakBefore w:val="0"/>
        <w:tabs>
          <w:tab w:val="left" w:pos="7020"/>
        </w:tabs>
        <w:kinsoku/>
        <w:wordWrap/>
        <w:overflowPunct/>
        <w:topLinePunct w:val="0"/>
        <w:autoSpaceDE/>
        <w:autoSpaceDN/>
        <w:bidi w:val="0"/>
        <w:adjustRightInd w:val="0"/>
        <w:snapToGrid/>
        <w:spacing w:line="240" w:lineRule="auto"/>
        <w:ind w:left="3235"/>
        <w:textAlignment w:val="auto"/>
        <w:rPr>
          <w:rFonts w:hint="default" w:ascii="Times New Roman" w:hAnsi="Times New Roman" w:cs="Times New Roman"/>
          <w:sz w:val="28"/>
          <w:szCs w:val="28"/>
        </w:rPr>
      </w:pPr>
      <w:r>
        <w:rPr>
          <w:rFonts w:hint="default" w:ascii="Times New Roman" w:hAnsi="Times New Roman" w:cs="Times New Roman"/>
          <w:i/>
          <w:sz w:val="28"/>
          <w:szCs w:val="28"/>
        </w:rPr>
        <w:t>q2d=A2d/Aw3</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71E972AB">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q2d</w:t>
      </w:r>
      <w:r>
        <w:rPr>
          <w:rFonts w:hint="default" w:ascii="Times New Roman" w:hAnsi="Times New Roman" w:cs="Times New Roman"/>
          <w:i/>
          <w:spacing w:val="-1"/>
          <w:sz w:val="28"/>
          <w:szCs w:val="28"/>
        </w:rPr>
        <w:t>──</w:t>
      </w:r>
      <w:r>
        <w:rPr>
          <w:rFonts w:hint="default" w:ascii="Times New Roman" w:hAnsi="Times New Roman" w:cs="Times New Roman"/>
          <w:sz w:val="28"/>
          <w:szCs w:val="28"/>
        </w:rPr>
        <w:t>内隔墙</w:t>
      </w:r>
      <w:r>
        <w:rPr>
          <w:rFonts w:hint="default" w:ascii="Times New Roman" w:hAnsi="Times New Roman" w:cs="Times New Roman"/>
          <w:spacing w:val="-3"/>
          <w:sz w:val="28"/>
          <w:szCs w:val="28"/>
        </w:rPr>
        <w:t>采</w:t>
      </w:r>
      <w:r>
        <w:rPr>
          <w:rFonts w:hint="default" w:ascii="Times New Roman" w:hAnsi="Times New Roman" w:cs="Times New Roman"/>
          <w:sz w:val="28"/>
          <w:szCs w:val="28"/>
        </w:rPr>
        <w:t>用墙体、管线、装修一体化的应用比例；</w:t>
      </w:r>
    </w:p>
    <w:p w14:paraId="06DB2DB3">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eastAsia" w:cs="Times New Roman"/>
          <w:sz w:val="28"/>
          <w:szCs w:val="28"/>
          <w:lang w:eastAsia="zh-CN"/>
        </w:rPr>
      </w:pPr>
      <w:r>
        <w:rPr>
          <w:rFonts w:hint="default" w:ascii="Times New Roman" w:hAnsi="Times New Roman" w:cs="Times New Roman"/>
          <w:i/>
          <w:sz w:val="28"/>
          <w:szCs w:val="28"/>
        </w:rPr>
        <w:t>A2d</w:t>
      </w:r>
      <w:r>
        <w:rPr>
          <w:rFonts w:hint="default" w:ascii="Times New Roman" w:hAnsi="Times New Roman" w:cs="Times New Roman"/>
          <w:i/>
          <w:spacing w:val="-1"/>
          <w:sz w:val="28"/>
          <w:szCs w:val="28"/>
        </w:rPr>
        <w:t>──</w:t>
      </w:r>
      <w:r>
        <w:rPr>
          <w:rFonts w:hint="default" w:ascii="Times New Roman" w:hAnsi="Times New Roman" w:cs="Times New Roman"/>
          <w:spacing w:val="2"/>
          <w:sz w:val="28"/>
          <w:szCs w:val="28"/>
        </w:rPr>
        <w:t>各楼层</w:t>
      </w:r>
      <w:r>
        <w:rPr>
          <w:rFonts w:hint="default" w:ascii="Times New Roman" w:hAnsi="Times New Roman" w:cs="Times New Roman"/>
          <w:spacing w:val="4"/>
          <w:sz w:val="28"/>
          <w:szCs w:val="28"/>
        </w:rPr>
        <w:t>内</w:t>
      </w:r>
      <w:r>
        <w:rPr>
          <w:rFonts w:hint="default" w:ascii="Times New Roman" w:hAnsi="Times New Roman" w:cs="Times New Roman"/>
          <w:spacing w:val="2"/>
          <w:sz w:val="28"/>
          <w:szCs w:val="28"/>
        </w:rPr>
        <w:t>隔</w:t>
      </w:r>
      <w:r>
        <w:rPr>
          <w:rFonts w:hint="default" w:ascii="Times New Roman" w:hAnsi="Times New Roman" w:cs="Times New Roman"/>
          <w:spacing w:val="4"/>
          <w:sz w:val="28"/>
          <w:szCs w:val="28"/>
        </w:rPr>
        <w:t>墙</w:t>
      </w:r>
      <w:r>
        <w:rPr>
          <w:rFonts w:hint="default" w:ascii="Times New Roman" w:hAnsi="Times New Roman" w:cs="Times New Roman"/>
          <w:spacing w:val="2"/>
          <w:sz w:val="28"/>
          <w:szCs w:val="28"/>
        </w:rPr>
        <w:t>采用</w:t>
      </w:r>
      <w:r>
        <w:rPr>
          <w:rFonts w:hint="default" w:ascii="Times New Roman" w:hAnsi="Times New Roman" w:cs="Times New Roman"/>
          <w:spacing w:val="4"/>
          <w:sz w:val="28"/>
          <w:szCs w:val="28"/>
        </w:rPr>
        <w:t>墙</w:t>
      </w:r>
      <w:r>
        <w:rPr>
          <w:rFonts w:hint="default" w:ascii="Times New Roman" w:hAnsi="Times New Roman" w:cs="Times New Roman"/>
          <w:spacing w:val="2"/>
          <w:sz w:val="28"/>
          <w:szCs w:val="28"/>
        </w:rPr>
        <w:t>体、</w:t>
      </w:r>
      <w:r>
        <w:rPr>
          <w:rFonts w:hint="default" w:ascii="Times New Roman" w:hAnsi="Times New Roman" w:cs="Times New Roman"/>
          <w:spacing w:val="4"/>
          <w:sz w:val="28"/>
          <w:szCs w:val="28"/>
        </w:rPr>
        <w:t>管</w:t>
      </w:r>
      <w:r>
        <w:rPr>
          <w:rFonts w:hint="default" w:ascii="Times New Roman" w:hAnsi="Times New Roman" w:cs="Times New Roman"/>
          <w:spacing w:val="2"/>
          <w:sz w:val="28"/>
          <w:szCs w:val="28"/>
        </w:rPr>
        <w:t>线</w:t>
      </w: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装</w:t>
      </w:r>
      <w:r>
        <w:rPr>
          <w:rFonts w:hint="default" w:ascii="Times New Roman" w:hAnsi="Times New Roman" w:cs="Times New Roman"/>
          <w:spacing w:val="4"/>
          <w:sz w:val="28"/>
          <w:szCs w:val="28"/>
        </w:rPr>
        <w:t>修</w:t>
      </w:r>
      <w:r>
        <w:rPr>
          <w:rFonts w:hint="default" w:ascii="Times New Roman" w:hAnsi="Times New Roman" w:cs="Times New Roman"/>
          <w:spacing w:val="2"/>
          <w:sz w:val="28"/>
          <w:szCs w:val="28"/>
        </w:rPr>
        <w:t>一体</w:t>
      </w:r>
      <w:r>
        <w:rPr>
          <w:rFonts w:hint="default" w:ascii="Times New Roman" w:hAnsi="Times New Roman" w:cs="Times New Roman"/>
          <w:spacing w:val="4"/>
          <w:sz w:val="28"/>
          <w:szCs w:val="28"/>
        </w:rPr>
        <w:t>化</w:t>
      </w:r>
      <w:r>
        <w:rPr>
          <w:rFonts w:hint="default" w:ascii="Times New Roman" w:hAnsi="Times New Roman" w:cs="Times New Roman"/>
          <w:spacing w:val="2"/>
          <w:sz w:val="28"/>
          <w:szCs w:val="28"/>
        </w:rPr>
        <w:t>墙体表面积</w:t>
      </w:r>
      <w:r>
        <w:rPr>
          <w:rFonts w:hint="default" w:ascii="Times New Roman" w:hAnsi="Times New Roman" w:cs="Times New Roman"/>
          <w:spacing w:val="4"/>
          <w:sz w:val="28"/>
          <w:szCs w:val="28"/>
        </w:rPr>
        <w:t>之和</w:t>
      </w:r>
      <w:r>
        <w:rPr>
          <w:rFonts w:hint="default" w:ascii="Times New Roman" w:hAnsi="Times New Roman" w:cs="Times New Roman"/>
          <w:spacing w:val="2"/>
          <w:sz w:val="28"/>
          <w:szCs w:val="28"/>
        </w:rPr>
        <w:t>，</w:t>
      </w:r>
      <w:r>
        <w:rPr>
          <w:rFonts w:hint="default" w:ascii="Times New Roman" w:hAnsi="Times New Roman" w:cs="Times New Roman"/>
          <w:sz w:val="28"/>
          <w:szCs w:val="28"/>
        </w:rPr>
        <w:t>计算时可不扣除门、窗及预留洞口等的面积</w:t>
      </w:r>
      <w:r>
        <w:rPr>
          <w:rFonts w:hint="eastAsia" w:cs="Times New Roman"/>
          <w:sz w:val="28"/>
          <w:szCs w:val="28"/>
          <w:lang w:eastAsia="zh-CN"/>
        </w:rPr>
        <w:t>；</w:t>
      </w:r>
    </w:p>
    <w:p w14:paraId="61AE9306">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Aw3</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各楼层内隔墙墙面总面积，计算时可不扣除门、窗、预留洞口等的面积。</w:t>
      </w:r>
    </w:p>
    <w:p w14:paraId="245CFF44">
      <w:pPr>
        <w:keepNext w:val="0"/>
        <w:keepLines w:val="0"/>
        <w:pageBreakBefore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（三）装修与设备管线评价分值Q3计算</w:t>
      </w:r>
    </w:p>
    <w:p w14:paraId="0A17F3E1">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1.全装修q3a</w:t>
      </w:r>
    </w:p>
    <w:p w14:paraId="38FC277C">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2.干式工法的楼面、地面的应用比例计算：</w:t>
      </w:r>
    </w:p>
    <w:p w14:paraId="43CC288B">
      <w:pPr>
        <w:keepNext w:val="0"/>
        <w:keepLines w:val="0"/>
        <w:pageBreakBefore w:val="0"/>
        <w:tabs>
          <w:tab w:val="left" w:pos="7020"/>
        </w:tabs>
        <w:kinsoku/>
        <w:wordWrap/>
        <w:overflowPunct/>
        <w:topLinePunct w:val="0"/>
        <w:autoSpaceDE/>
        <w:autoSpaceDN/>
        <w:bidi w:val="0"/>
        <w:adjustRightInd w:val="0"/>
        <w:snapToGrid/>
        <w:spacing w:line="240" w:lineRule="auto"/>
        <w:ind w:left="3328"/>
        <w:textAlignment w:val="auto"/>
        <w:rPr>
          <w:rFonts w:hint="default" w:ascii="Times New Roman" w:hAnsi="Times New Roman" w:cs="Times New Roman"/>
          <w:sz w:val="28"/>
          <w:szCs w:val="28"/>
        </w:rPr>
      </w:pPr>
      <w:r>
        <w:rPr>
          <w:rFonts w:hint="default" w:ascii="Times New Roman" w:hAnsi="Times New Roman" w:cs="Times New Roman"/>
          <w:i/>
          <w:sz w:val="28"/>
          <w:szCs w:val="28"/>
        </w:rPr>
        <w:t>q3b=A3b/AL</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2325BB01">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q3b</w:t>
      </w:r>
      <w:r>
        <w:rPr>
          <w:rFonts w:hint="default" w:ascii="Times New Roman" w:hAnsi="Times New Roman" w:cs="Times New Roman"/>
          <w:i/>
          <w:spacing w:val="-1"/>
          <w:sz w:val="28"/>
          <w:szCs w:val="28"/>
        </w:rPr>
        <w:t>──</w:t>
      </w:r>
      <w:r>
        <w:rPr>
          <w:rFonts w:hint="default" w:ascii="Times New Roman" w:hAnsi="Times New Roman" w:cs="Times New Roman"/>
          <w:sz w:val="28"/>
          <w:szCs w:val="28"/>
        </w:rPr>
        <w:t>干式工</w:t>
      </w:r>
      <w:r>
        <w:rPr>
          <w:rFonts w:hint="default" w:ascii="Times New Roman" w:hAnsi="Times New Roman" w:cs="Times New Roman"/>
          <w:spacing w:val="-3"/>
          <w:sz w:val="28"/>
          <w:szCs w:val="28"/>
        </w:rPr>
        <w:t>法施工的</w:t>
      </w:r>
      <w:r>
        <w:rPr>
          <w:rFonts w:hint="default" w:ascii="Times New Roman" w:hAnsi="Times New Roman" w:cs="Times New Roman"/>
          <w:sz w:val="28"/>
          <w:szCs w:val="28"/>
        </w:rPr>
        <w:t>楼面、地面的应用比例；</w:t>
      </w:r>
    </w:p>
    <w:p w14:paraId="3D90F4DA">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A3b</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各楼层采用</w:t>
      </w:r>
      <w:r>
        <w:rPr>
          <w:rFonts w:hint="default" w:ascii="Times New Roman" w:hAnsi="Times New Roman" w:cs="Times New Roman"/>
          <w:spacing w:val="-3"/>
          <w:sz w:val="28"/>
          <w:szCs w:val="28"/>
        </w:rPr>
        <w:t>干</w:t>
      </w:r>
      <w:r>
        <w:rPr>
          <w:rFonts w:hint="default" w:ascii="Times New Roman" w:hAnsi="Times New Roman" w:cs="Times New Roman"/>
          <w:sz w:val="28"/>
          <w:szCs w:val="28"/>
        </w:rPr>
        <w:t>式工法的楼面、地面的水平投影面积之和；</w:t>
      </w:r>
    </w:p>
    <w:p w14:paraId="7234F087">
      <w:pPr>
        <w:pStyle w:val="6"/>
        <w:keepNext w:val="0"/>
        <w:keepLines w:val="0"/>
        <w:pageBreakBefore w:val="0"/>
        <w:kinsoku/>
        <w:wordWrap/>
        <w:overflowPunct/>
        <w:topLinePunct w:val="0"/>
        <w:autoSpaceDE/>
        <w:autoSpaceDN/>
        <w:bidi w:val="0"/>
        <w:adjustRightInd w:val="0"/>
        <w:snapToGrid/>
        <w:spacing w:line="240" w:lineRule="auto"/>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i/>
          <w:sz w:val="28"/>
          <w:szCs w:val="28"/>
        </w:rPr>
        <w:t>AL</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各楼层建筑平面总面积扣除墙、柱、洞口的水平投影面积；当设备房、阳台未采用干式工法时，可不计此部分面积。</w:t>
      </w:r>
    </w:p>
    <w:p w14:paraId="19B1208C">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3.集成厨房</w:t>
      </w:r>
      <w:r>
        <w:rPr>
          <w:rFonts w:hint="default" w:ascii="Times New Roman" w:hAnsi="Times New Roman" w:cs="Times New Roman"/>
          <w:sz w:val="28"/>
          <w:szCs w:val="28"/>
        </w:rPr>
        <w:t>干式工法</w:t>
      </w:r>
      <w:r>
        <w:rPr>
          <w:rFonts w:hint="default" w:ascii="Times New Roman" w:hAnsi="Times New Roman" w:cs="Times New Roman"/>
          <w:bCs/>
          <w:sz w:val="28"/>
          <w:szCs w:val="28"/>
        </w:rPr>
        <w:t>的应用比例计算：</w:t>
      </w:r>
    </w:p>
    <w:p w14:paraId="6BE41408">
      <w:pPr>
        <w:keepNext w:val="0"/>
        <w:keepLines w:val="0"/>
        <w:pageBreakBefore w:val="0"/>
        <w:tabs>
          <w:tab w:val="left" w:pos="7379"/>
        </w:tabs>
        <w:kinsoku/>
        <w:wordWrap/>
        <w:overflowPunct/>
        <w:topLinePunct w:val="0"/>
        <w:autoSpaceDE/>
        <w:autoSpaceDN/>
        <w:bidi w:val="0"/>
        <w:adjustRightInd w:val="0"/>
        <w:snapToGrid/>
        <w:spacing w:line="240" w:lineRule="auto"/>
        <w:ind w:left="3230"/>
        <w:textAlignment w:val="auto"/>
        <w:rPr>
          <w:rFonts w:hint="default" w:ascii="Times New Roman" w:hAnsi="Times New Roman" w:cs="Times New Roman"/>
          <w:sz w:val="28"/>
          <w:szCs w:val="28"/>
        </w:rPr>
      </w:pPr>
      <w:r>
        <w:rPr>
          <w:rFonts w:hint="default" w:ascii="Times New Roman" w:hAnsi="Times New Roman" w:cs="Times New Roman"/>
          <w:i/>
          <w:sz w:val="28"/>
          <w:szCs w:val="28"/>
        </w:rPr>
        <w:t>q3c=A3c/Ak</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47A2758D">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q3c</w:t>
      </w:r>
      <w:r>
        <w:rPr>
          <w:rFonts w:hint="default" w:ascii="Times New Roman" w:hAnsi="Times New Roman" w:cs="Times New Roman"/>
          <w:i/>
          <w:spacing w:val="-1"/>
          <w:sz w:val="28"/>
          <w:szCs w:val="28"/>
        </w:rPr>
        <w:t>──</w:t>
      </w:r>
      <w:r>
        <w:rPr>
          <w:rFonts w:hint="default" w:ascii="Times New Roman" w:hAnsi="Times New Roman" w:cs="Times New Roman"/>
          <w:sz w:val="28"/>
          <w:szCs w:val="28"/>
        </w:rPr>
        <w:t>集成厨</w:t>
      </w:r>
      <w:r>
        <w:rPr>
          <w:rFonts w:hint="default" w:ascii="Times New Roman" w:hAnsi="Times New Roman" w:cs="Times New Roman"/>
          <w:spacing w:val="-3"/>
          <w:sz w:val="28"/>
          <w:szCs w:val="28"/>
        </w:rPr>
        <w:t>房中</w:t>
      </w:r>
      <w:r>
        <w:rPr>
          <w:rFonts w:hint="default" w:ascii="Times New Roman" w:hAnsi="Times New Roman" w:cs="Times New Roman"/>
          <w:sz w:val="28"/>
          <w:szCs w:val="28"/>
        </w:rPr>
        <w:t>干式工法施工的应用比例；</w:t>
      </w:r>
    </w:p>
    <w:p w14:paraId="2C03F77C">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A3c</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各楼层厨房</w:t>
      </w:r>
      <w:r>
        <w:rPr>
          <w:rFonts w:hint="default" w:ascii="Times New Roman" w:hAnsi="Times New Roman" w:cs="Times New Roman"/>
          <w:spacing w:val="-3"/>
          <w:sz w:val="28"/>
          <w:szCs w:val="28"/>
        </w:rPr>
        <w:t>墙</w:t>
      </w:r>
      <w:r>
        <w:rPr>
          <w:rFonts w:hint="default" w:ascii="Times New Roman" w:hAnsi="Times New Roman" w:cs="Times New Roman"/>
          <w:sz w:val="28"/>
          <w:szCs w:val="28"/>
        </w:rPr>
        <w:t>面、顶面和地面采用干式工法的面积之和；</w:t>
      </w:r>
    </w:p>
    <w:p w14:paraId="5914213B">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i/>
          <w:sz w:val="28"/>
          <w:szCs w:val="28"/>
        </w:rPr>
        <w:t>Ak</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各楼层厨房</w:t>
      </w:r>
      <w:r>
        <w:rPr>
          <w:rFonts w:hint="default" w:ascii="Times New Roman" w:hAnsi="Times New Roman" w:cs="Times New Roman"/>
          <w:spacing w:val="-3"/>
          <w:sz w:val="28"/>
          <w:szCs w:val="28"/>
        </w:rPr>
        <w:t>墙</w:t>
      </w:r>
      <w:r>
        <w:rPr>
          <w:rFonts w:hint="default" w:ascii="Times New Roman" w:hAnsi="Times New Roman" w:cs="Times New Roman"/>
          <w:sz w:val="28"/>
          <w:szCs w:val="28"/>
        </w:rPr>
        <w:t>面、顶面和地面的总面积。</w:t>
      </w:r>
    </w:p>
    <w:p w14:paraId="064CAC39">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4.集成卫生间</w:t>
      </w:r>
      <w:r>
        <w:rPr>
          <w:rFonts w:hint="default" w:ascii="Times New Roman" w:hAnsi="Times New Roman" w:cs="Times New Roman"/>
          <w:sz w:val="28"/>
          <w:szCs w:val="28"/>
        </w:rPr>
        <w:t>干式工法</w:t>
      </w:r>
      <w:r>
        <w:rPr>
          <w:rFonts w:hint="default" w:ascii="Times New Roman" w:hAnsi="Times New Roman" w:cs="Times New Roman"/>
          <w:bCs/>
          <w:sz w:val="28"/>
          <w:szCs w:val="28"/>
        </w:rPr>
        <w:t>的应用比例计算：</w:t>
      </w:r>
    </w:p>
    <w:p w14:paraId="25563AEF">
      <w:pPr>
        <w:keepNext w:val="0"/>
        <w:keepLines w:val="0"/>
        <w:pageBreakBefore w:val="0"/>
        <w:tabs>
          <w:tab w:val="left" w:pos="7379"/>
        </w:tabs>
        <w:kinsoku/>
        <w:wordWrap/>
        <w:overflowPunct/>
        <w:topLinePunct w:val="0"/>
        <w:autoSpaceDE/>
        <w:autoSpaceDN/>
        <w:bidi w:val="0"/>
        <w:adjustRightInd w:val="0"/>
        <w:snapToGrid/>
        <w:spacing w:line="240" w:lineRule="auto"/>
        <w:ind w:left="3249"/>
        <w:textAlignment w:val="auto"/>
        <w:rPr>
          <w:rFonts w:hint="default" w:ascii="Times New Roman" w:hAnsi="Times New Roman" w:cs="Times New Roman"/>
          <w:sz w:val="28"/>
          <w:szCs w:val="28"/>
        </w:rPr>
      </w:pPr>
      <w:r>
        <w:rPr>
          <w:rFonts w:hint="default" w:ascii="Times New Roman" w:hAnsi="Times New Roman" w:cs="Times New Roman"/>
          <w:i/>
          <w:sz w:val="28"/>
          <w:szCs w:val="28"/>
        </w:rPr>
        <w:t>q3d=A3d/Ab</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043B7E36">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q3d</w:t>
      </w:r>
      <w:r>
        <w:rPr>
          <w:rFonts w:hint="default" w:ascii="Times New Roman" w:hAnsi="Times New Roman" w:cs="Times New Roman"/>
          <w:i/>
          <w:spacing w:val="-1"/>
          <w:sz w:val="28"/>
          <w:szCs w:val="28"/>
        </w:rPr>
        <w:t>──</w:t>
      </w:r>
      <w:r>
        <w:rPr>
          <w:rFonts w:hint="default" w:ascii="Times New Roman" w:hAnsi="Times New Roman" w:cs="Times New Roman"/>
          <w:sz w:val="28"/>
          <w:szCs w:val="28"/>
        </w:rPr>
        <w:t>集成卫</w:t>
      </w:r>
      <w:r>
        <w:rPr>
          <w:rFonts w:hint="default" w:ascii="Times New Roman" w:hAnsi="Times New Roman" w:cs="Times New Roman"/>
          <w:spacing w:val="-3"/>
          <w:sz w:val="28"/>
          <w:szCs w:val="28"/>
        </w:rPr>
        <w:t>生</w:t>
      </w:r>
      <w:r>
        <w:rPr>
          <w:rFonts w:hint="default" w:ascii="Times New Roman" w:hAnsi="Times New Roman" w:cs="Times New Roman"/>
          <w:sz w:val="28"/>
          <w:szCs w:val="28"/>
        </w:rPr>
        <w:t>间中干式工法的应用比例；</w:t>
      </w:r>
    </w:p>
    <w:p w14:paraId="55E4E9B9">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A3d</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各楼层卫生</w:t>
      </w:r>
      <w:r>
        <w:rPr>
          <w:rFonts w:hint="default" w:ascii="Times New Roman" w:hAnsi="Times New Roman" w:cs="Times New Roman"/>
          <w:spacing w:val="-3"/>
          <w:sz w:val="28"/>
          <w:szCs w:val="28"/>
        </w:rPr>
        <w:t>间</w:t>
      </w:r>
      <w:r>
        <w:rPr>
          <w:rFonts w:hint="default" w:ascii="Times New Roman" w:hAnsi="Times New Roman" w:cs="Times New Roman"/>
          <w:sz w:val="28"/>
          <w:szCs w:val="28"/>
        </w:rPr>
        <w:t>墙面、顶面和地面采用干式工法的面积之和；</w:t>
      </w:r>
    </w:p>
    <w:p w14:paraId="5EB0DF5D">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i/>
          <w:sz w:val="28"/>
          <w:szCs w:val="28"/>
        </w:rPr>
        <w:t>Ab</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各楼层卫生间</w:t>
      </w:r>
      <w:r>
        <w:rPr>
          <w:rFonts w:hint="default" w:ascii="Times New Roman" w:hAnsi="Times New Roman" w:cs="Times New Roman"/>
          <w:spacing w:val="-3"/>
          <w:sz w:val="28"/>
          <w:szCs w:val="28"/>
        </w:rPr>
        <w:t>墙</w:t>
      </w:r>
      <w:r>
        <w:rPr>
          <w:rFonts w:hint="default" w:ascii="Times New Roman" w:hAnsi="Times New Roman" w:cs="Times New Roman"/>
          <w:sz w:val="28"/>
          <w:szCs w:val="28"/>
        </w:rPr>
        <w:t>面、顶面和地面的总面积。</w:t>
      </w:r>
    </w:p>
    <w:p w14:paraId="43D9B399">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5.管线分离的应用比例计算：</w:t>
      </w:r>
    </w:p>
    <w:p w14:paraId="41ED5489">
      <w:pPr>
        <w:keepNext w:val="0"/>
        <w:keepLines w:val="0"/>
        <w:pageBreakBefore w:val="0"/>
        <w:tabs>
          <w:tab w:val="left" w:pos="7384"/>
        </w:tabs>
        <w:kinsoku/>
        <w:wordWrap/>
        <w:overflowPunct/>
        <w:topLinePunct w:val="0"/>
        <w:autoSpaceDE/>
        <w:autoSpaceDN/>
        <w:bidi w:val="0"/>
        <w:adjustRightInd w:val="0"/>
        <w:snapToGrid/>
        <w:spacing w:line="240" w:lineRule="auto"/>
        <w:ind w:left="3223"/>
        <w:textAlignment w:val="auto"/>
        <w:rPr>
          <w:rFonts w:hint="default" w:ascii="Times New Roman" w:hAnsi="Times New Roman" w:cs="Times New Roman"/>
          <w:sz w:val="28"/>
          <w:szCs w:val="28"/>
        </w:rPr>
      </w:pPr>
      <w:r>
        <w:rPr>
          <w:rFonts w:hint="default" w:ascii="Times New Roman" w:hAnsi="Times New Roman" w:cs="Times New Roman"/>
          <w:i/>
          <w:sz w:val="28"/>
          <w:szCs w:val="28"/>
        </w:rPr>
        <w:t>q3e=L3e/L</w:t>
      </w:r>
      <w:r>
        <w:rPr>
          <w:rFonts w:hint="default" w:ascii="Times New Roman" w:hAnsi="Times New Roman" w:cs="Times New Roman"/>
          <w:sz w:val="28"/>
          <w:szCs w:val="28"/>
        </w:rPr>
        <w:t>×100%</w:t>
      </w:r>
      <w:r>
        <w:rPr>
          <w:rFonts w:hint="default" w:ascii="Times New Roman" w:hAnsi="Times New Roman" w:cs="Times New Roman"/>
          <w:sz w:val="28"/>
          <w:szCs w:val="28"/>
        </w:rPr>
        <w:tab/>
      </w:r>
    </w:p>
    <w:p w14:paraId="1ABB56F3">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q3e</w:t>
      </w:r>
      <w:r>
        <w:rPr>
          <w:rFonts w:hint="default" w:ascii="Times New Roman" w:hAnsi="Times New Roman" w:cs="Times New Roman"/>
          <w:i/>
          <w:spacing w:val="-1"/>
          <w:sz w:val="28"/>
          <w:szCs w:val="28"/>
        </w:rPr>
        <w:t>──</w:t>
      </w:r>
      <w:r>
        <w:rPr>
          <w:rFonts w:hint="default" w:ascii="Times New Roman" w:hAnsi="Times New Roman" w:cs="Times New Roman"/>
          <w:sz w:val="28"/>
          <w:szCs w:val="28"/>
        </w:rPr>
        <w:t>管线分</w:t>
      </w:r>
      <w:r>
        <w:rPr>
          <w:rFonts w:hint="default" w:ascii="Times New Roman" w:hAnsi="Times New Roman" w:cs="Times New Roman"/>
          <w:spacing w:val="-3"/>
          <w:sz w:val="28"/>
          <w:szCs w:val="28"/>
        </w:rPr>
        <w:t>离</w:t>
      </w:r>
      <w:r>
        <w:rPr>
          <w:rFonts w:hint="default" w:ascii="Times New Roman" w:hAnsi="Times New Roman" w:cs="Times New Roman"/>
          <w:sz w:val="28"/>
          <w:szCs w:val="28"/>
        </w:rPr>
        <w:t>比例；</w:t>
      </w:r>
    </w:p>
    <w:p w14:paraId="2EF3D2D0">
      <w:pPr>
        <w:pStyle w:val="6"/>
        <w:keepNext w:val="0"/>
        <w:keepLines w:val="0"/>
        <w:pageBreakBefore w:val="0"/>
        <w:kinsoku/>
        <w:wordWrap/>
        <w:overflowPunct/>
        <w:topLinePunct w:val="0"/>
        <w:autoSpaceDE/>
        <w:autoSpaceDN/>
        <w:bidi w:val="0"/>
        <w:adjustRightInd w:val="0"/>
        <w:snapToGrid/>
        <w:spacing w:line="240" w:lineRule="auto"/>
        <w:ind w:right="112" w:firstLine="560" w:firstLineChars="200"/>
        <w:textAlignment w:val="auto"/>
        <w:rPr>
          <w:rFonts w:hint="default" w:ascii="Times New Roman" w:hAnsi="Times New Roman" w:cs="Times New Roman"/>
          <w:spacing w:val="4"/>
          <w:sz w:val="28"/>
          <w:szCs w:val="28"/>
        </w:rPr>
      </w:pPr>
      <w:r>
        <w:rPr>
          <w:rFonts w:hint="default" w:ascii="Times New Roman" w:hAnsi="Times New Roman" w:cs="Times New Roman"/>
          <w:i/>
          <w:sz w:val="28"/>
          <w:szCs w:val="28"/>
        </w:rPr>
        <w:t>L3e</w:t>
      </w:r>
      <w:r>
        <w:rPr>
          <w:rFonts w:hint="default" w:ascii="Times New Roman" w:hAnsi="Times New Roman" w:cs="Times New Roman"/>
          <w:i/>
          <w:spacing w:val="-1"/>
          <w:sz w:val="28"/>
          <w:szCs w:val="28"/>
        </w:rPr>
        <w:t>──</w:t>
      </w:r>
      <w:r>
        <w:rPr>
          <w:rFonts w:hint="default" w:ascii="Times New Roman" w:hAnsi="Times New Roman" w:cs="Times New Roman"/>
          <w:spacing w:val="4"/>
          <w:sz w:val="28"/>
          <w:szCs w:val="28"/>
        </w:rPr>
        <w:t>各楼</w:t>
      </w:r>
      <w:r>
        <w:rPr>
          <w:rFonts w:hint="default" w:ascii="Times New Roman" w:hAnsi="Times New Roman" w:cs="Times New Roman"/>
          <w:spacing w:val="2"/>
          <w:sz w:val="28"/>
          <w:szCs w:val="28"/>
        </w:rPr>
        <w:t>层</w:t>
      </w:r>
      <w:r>
        <w:rPr>
          <w:rFonts w:hint="default" w:ascii="Times New Roman" w:hAnsi="Times New Roman" w:cs="Times New Roman"/>
          <w:spacing w:val="4"/>
          <w:sz w:val="28"/>
          <w:szCs w:val="28"/>
        </w:rPr>
        <w:t>管</w:t>
      </w:r>
      <w:r>
        <w:rPr>
          <w:rFonts w:hint="default" w:ascii="Times New Roman" w:hAnsi="Times New Roman" w:cs="Times New Roman"/>
          <w:spacing w:val="2"/>
          <w:sz w:val="28"/>
          <w:szCs w:val="28"/>
        </w:rPr>
        <w:t>线分</w:t>
      </w:r>
      <w:r>
        <w:rPr>
          <w:rFonts w:hint="default" w:ascii="Times New Roman" w:hAnsi="Times New Roman" w:cs="Times New Roman"/>
          <w:spacing w:val="4"/>
          <w:sz w:val="28"/>
          <w:szCs w:val="28"/>
        </w:rPr>
        <w:t>离的</w:t>
      </w:r>
      <w:r>
        <w:rPr>
          <w:rFonts w:hint="default" w:ascii="Times New Roman" w:hAnsi="Times New Roman" w:cs="Times New Roman"/>
          <w:spacing w:val="2"/>
          <w:sz w:val="28"/>
          <w:szCs w:val="28"/>
        </w:rPr>
        <w:t>长</w:t>
      </w:r>
      <w:r>
        <w:rPr>
          <w:rFonts w:hint="default" w:ascii="Times New Roman" w:hAnsi="Times New Roman" w:cs="Times New Roman"/>
          <w:spacing w:val="4"/>
          <w:sz w:val="28"/>
          <w:szCs w:val="28"/>
        </w:rPr>
        <w:t>度</w:t>
      </w:r>
      <w:r>
        <w:rPr>
          <w:rFonts w:hint="default" w:ascii="Times New Roman" w:hAnsi="Times New Roman" w:cs="Times New Roman"/>
          <w:spacing w:val="2"/>
          <w:sz w:val="28"/>
          <w:szCs w:val="28"/>
        </w:rPr>
        <w:t>，</w:t>
      </w:r>
      <w:r>
        <w:rPr>
          <w:rFonts w:hint="default" w:ascii="Times New Roman" w:hAnsi="Times New Roman" w:cs="Times New Roman"/>
          <w:spacing w:val="4"/>
          <w:sz w:val="28"/>
          <w:szCs w:val="28"/>
        </w:rPr>
        <w:t>包</w:t>
      </w:r>
      <w:r>
        <w:rPr>
          <w:rFonts w:hint="default" w:ascii="Times New Roman" w:hAnsi="Times New Roman" w:cs="Times New Roman"/>
          <w:spacing w:val="2"/>
          <w:sz w:val="28"/>
          <w:szCs w:val="28"/>
        </w:rPr>
        <w:t>括</w:t>
      </w:r>
      <w:r>
        <w:rPr>
          <w:rFonts w:hint="default" w:ascii="Times New Roman" w:hAnsi="Times New Roman" w:cs="Times New Roman"/>
          <w:spacing w:val="4"/>
          <w:sz w:val="28"/>
          <w:szCs w:val="28"/>
        </w:rPr>
        <w:t>裸</w:t>
      </w:r>
      <w:r>
        <w:rPr>
          <w:rFonts w:hint="default" w:ascii="Times New Roman" w:hAnsi="Times New Roman" w:cs="Times New Roman"/>
          <w:spacing w:val="2"/>
          <w:sz w:val="28"/>
          <w:szCs w:val="28"/>
        </w:rPr>
        <w:t>露于</w:t>
      </w:r>
      <w:r>
        <w:rPr>
          <w:rFonts w:hint="default" w:ascii="Times New Roman" w:hAnsi="Times New Roman" w:cs="Times New Roman"/>
          <w:spacing w:val="4"/>
          <w:sz w:val="28"/>
          <w:szCs w:val="28"/>
        </w:rPr>
        <w:t>室内</w:t>
      </w:r>
      <w:r>
        <w:rPr>
          <w:rFonts w:hint="default" w:ascii="Times New Roman" w:hAnsi="Times New Roman" w:cs="Times New Roman"/>
          <w:spacing w:val="2"/>
          <w:sz w:val="28"/>
          <w:szCs w:val="28"/>
        </w:rPr>
        <w:t>空</w:t>
      </w:r>
      <w:r>
        <w:rPr>
          <w:rFonts w:hint="default" w:ascii="Times New Roman" w:hAnsi="Times New Roman" w:cs="Times New Roman"/>
          <w:spacing w:val="4"/>
          <w:sz w:val="28"/>
          <w:szCs w:val="28"/>
        </w:rPr>
        <w:t>间</w:t>
      </w:r>
      <w:r>
        <w:rPr>
          <w:rFonts w:hint="default" w:ascii="Times New Roman" w:hAnsi="Times New Roman" w:cs="Times New Roman"/>
          <w:spacing w:val="2"/>
          <w:sz w:val="28"/>
          <w:szCs w:val="28"/>
        </w:rPr>
        <w:t>以</w:t>
      </w:r>
      <w:r>
        <w:rPr>
          <w:rFonts w:hint="default" w:ascii="Times New Roman" w:hAnsi="Times New Roman" w:cs="Times New Roman"/>
          <w:spacing w:val="4"/>
          <w:sz w:val="28"/>
          <w:szCs w:val="28"/>
        </w:rPr>
        <w:t>及</w:t>
      </w:r>
      <w:r>
        <w:rPr>
          <w:rFonts w:hint="default" w:ascii="Times New Roman" w:hAnsi="Times New Roman" w:cs="Times New Roman"/>
          <w:spacing w:val="2"/>
          <w:sz w:val="28"/>
          <w:szCs w:val="28"/>
        </w:rPr>
        <w:t>敷</w:t>
      </w:r>
      <w:r>
        <w:rPr>
          <w:rFonts w:hint="default" w:ascii="Times New Roman" w:hAnsi="Times New Roman" w:cs="Times New Roman"/>
          <w:spacing w:val="4"/>
          <w:sz w:val="28"/>
          <w:szCs w:val="28"/>
        </w:rPr>
        <w:t>设</w:t>
      </w:r>
      <w:r>
        <w:rPr>
          <w:rFonts w:hint="default" w:ascii="Times New Roman" w:hAnsi="Times New Roman" w:cs="Times New Roman"/>
          <w:spacing w:val="2"/>
          <w:sz w:val="28"/>
          <w:szCs w:val="28"/>
        </w:rPr>
        <w:t>在地</w:t>
      </w:r>
      <w:r>
        <w:rPr>
          <w:rFonts w:hint="default" w:ascii="Times New Roman" w:hAnsi="Times New Roman" w:cs="Times New Roman"/>
          <w:spacing w:val="4"/>
          <w:sz w:val="28"/>
          <w:szCs w:val="28"/>
        </w:rPr>
        <w:t>面</w:t>
      </w:r>
      <w:r>
        <w:rPr>
          <w:rFonts w:hint="default" w:ascii="Times New Roman" w:hAnsi="Times New Roman" w:cs="Times New Roman"/>
          <w:sz w:val="28"/>
          <w:szCs w:val="28"/>
        </w:rPr>
        <w:t>架</w:t>
      </w:r>
      <w:r>
        <w:rPr>
          <w:rFonts w:hint="default" w:ascii="Times New Roman" w:hAnsi="Times New Roman" w:cs="Times New Roman"/>
          <w:spacing w:val="2"/>
          <w:sz w:val="28"/>
          <w:szCs w:val="28"/>
        </w:rPr>
        <w:t>空层</w:t>
      </w:r>
      <w:r>
        <w:rPr>
          <w:rFonts w:hint="default" w:ascii="Times New Roman" w:hAnsi="Times New Roman" w:cs="Times New Roman"/>
          <w:sz w:val="28"/>
          <w:szCs w:val="28"/>
        </w:rPr>
        <w:t>、</w:t>
      </w:r>
      <w:r>
        <w:rPr>
          <w:rFonts w:hint="default" w:ascii="Times New Roman" w:hAnsi="Times New Roman" w:cs="Times New Roman"/>
          <w:spacing w:val="4"/>
          <w:sz w:val="28"/>
          <w:szCs w:val="28"/>
        </w:rPr>
        <w:t>非承重墙体空腔内预置预埋和吊顶内的电气、给水排水和采暖管线</w:t>
      </w:r>
      <w:bookmarkStart w:id="0" w:name="_GoBack"/>
      <w:bookmarkEnd w:id="0"/>
      <w:r>
        <w:rPr>
          <w:rFonts w:hint="default" w:ascii="Times New Roman" w:hAnsi="Times New Roman" w:cs="Times New Roman"/>
          <w:spacing w:val="4"/>
          <w:sz w:val="28"/>
          <w:szCs w:val="28"/>
        </w:rPr>
        <w:t>长度之和</w:t>
      </w:r>
      <w:r>
        <w:rPr>
          <w:rFonts w:hint="eastAsia" w:cs="Times New Roman"/>
          <w:spacing w:val="4"/>
          <w:sz w:val="28"/>
          <w:szCs w:val="28"/>
          <w:lang w:eastAsia="zh-CN"/>
        </w:rPr>
        <w:t>；</w:t>
      </w:r>
    </w:p>
    <w:p w14:paraId="2857419E">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pacing w:val="2"/>
          <w:kern w:val="0"/>
          <w:sz w:val="28"/>
          <w:szCs w:val="28"/>
          <w:lang w:val="zh-CN"/>
        </w:rPr>
      </w:pPr>
      <w:r>
        <w:rPr>
          <w:rFonts w:hint="default" w:ascii="Times New Roman" w:hAnsi="Times New Roman" w:cs="Times New Roman"/>
          <w:i/>
          <w:sz w:val="28"/>
          <w:szCs w:val="28"/>
        </w:rPr>
        <w:t>L</w:t>
      </w:r>
      <w:r>
        <w:rPr>
          <w:rFonts w:hint="default" w:ascii="Times New Roman" w:hAnsi="Times New Roman" w:cs="Times New Roman"/>
          <w:i/>
          <w:spacing w:val="-1"/>
          <w:sz w:val="28"/>
          <w:szCs w:val="28"/>
        </w:rPr>
        <w:t>──</w:t>
      </w:r>
      <w:r>
        <w:rPr>
          <w:rFonts w:hint="default" w:ascii="Times New Roman" w:hAnsi="Times New Roman" w:cs="Times New Roman"/>
          <w:spacing w:val="2"/>
          <w:kern w:val="0"/>
          <w:sz w:val="28"/>
          <w:szCs w:val="28"/>
          <w:lang w:val="zh-CN"/>
        </w:rPr>
        <w:t>各楼层电气、给水排水和采暖管线的总长度。</w:t>
      </w:r>
    </w:p>
    <w:p w14:paraId="7E974F0A">
      <w:pPr>
        <w:keepNext w:val="0"/>
        <w:keepLines w:val="0"/>
        <w:pageBreakBefore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（四）项目中缺少项Q4说明</w:t>
      </w:r>
    </w:p>
    <w:p w14:paraId="62D544EA">
      <w:pPr>
        <w:keepNext w:val="0"/>
        <w:keepLines w:val="0"/>
        <w:pageBreakBefore w:val="0"/>
        <w:kinsoku/>
        <w:wordWrap/>
        <w:overflowPunct/>
        <w:topLinePunct w:val="0"/>
        <w:autoSpaceDE/>
        <w:autoSpaceDN/>
        <w:bidi w:val="0"/>
        <w:adjustRightInd w:val="0"/>
        <w:snapToGrid/>
        <w:spacing w:line="240" w:lineRule="auto"/>
        <w:ind w:firstLine="568" w:firstLineChars="200"/>
        <w:textAlignment w:val="auto"/>
        <w:rPr>
          <w:rFonts w:hint="default" w:ascii="Times New Roman" w:hAnsi="Times New Roman" w:cs="Times New Roman"/>
          <w:spacing w:val="2"/>
          <w:kern w:val="0"/>
          <w:sz w:val="28"/>
          <w:szCs w:val="28"/>
          <w:lang w:val="zh-CN"/>
        </w:rPr>
      </w:pPr>
      <w:r>
        <w:rPr>
          <w:rFonts w:hint="default" w:ascii="Times New Roman" w:hAnsi="Times New Roman" w:cs="Times New Roman"/>
          <w:spacing w:val="2"/>
          <w:kern w:val="0"/>
          <w:sz w:val="28"/>
          <w:szCs w:val="28"/>
          <w:lang w:val="zh-CN"/>
        </w:rPr>
        <w:t>具体说明</w:t>
      </w:r>
    </w:p>
    <w:p w14:paraId="1F9E59C6">
      <w:pPr>
        <w:keepNext w:val="0"/>
        <w:keepLines w:val="0"/>
        <w:pageBreakBefore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（五）细化项评价分值Q5计算</w:t>
      </w:r>
    </w:p>
    <w:p w14:paraId="7DDD5384">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1.细化项 </w:t>
      </w:r>
      <w:r>
        <w:rPr>
          <w:rFonts w:hint="default" w:ascii="Times New Roman" w:hAnsi="Times New Roman" w:cs="Times New Roman"/>
          <w:i/>
          <w:sz w:val="28"/>
          <w:szCs w:val="28"/>
        </w:rPr>
        <w:t>Q51a</w:t>
      </w:r>
      <w:r>
        <w:rPr>
          <w:rFonts w:hint="eastAsia" w:cs="Times New Roman"/>
          <w:i/>
          <w:sz w:val="28"/>
          <w:szCs w:val="28"/>
          <w:lang w:eastAsia="zh-CN"/>
        </w:rPr>
        <w:t>：</w:t>
      </w:r>
      <w:r>
        <w:rPr>
          <w:rFonts w:hint="default" w:ascii="Times New Roman" w:hAnsi="Times New Roman" w:cs="Times New Roman"/>
          <w:sz w:val="28"/>
          <w:szCs w:val="28"/>
        </w:rPr>
        <w:t>竖向预制部品部件的应用比例按本细则第</w:t>
      </w:r>
      <w:r>
        <w:rPr>
          <w:rFonts w:hint="eastAsia" w:cs="Times New Roman"/>
          <w:sz w:val="28"/>
          <w:szCs w:val="28"/>
          <w:lang w:eastAsia="zh-CN"/>
        </w:rPr>
        <w:t>（</w:t>
      </w:r>
      <w:r>
        <w:rPr>
          <w:rFonts w:hint="default" w:ascii="Times New Roman" w:hAnsi="Times New Roman" w:cs="Times New Roman"/>
          <w:sz w:val="28"/>
          <w:szCs w:val="28"/>
        </w:rPr>
        <w:t>一</w:t>
      </w:r>
      <w:r>
        <w:rPr>
          <w:rFonts w:hint="eastAsia" w:cs="Times New Roman"/>
          <w:sz w:val="28"/>
          <w:szCs w:val="28"/>
          <w:lang w:eastAsia="zh-CN"/>
        </w:rPr>
        <w:t>）</w:t>
      </w:r>
      <w:r>
        <w:rPr>
          <w:rFonts w:hint="default" w:ascii="Times New Roman" w:hAnsi="Times New Roman" w:cs="Times New Roman"/>
          <w:sz w:val="28"/>
          <w:szCs w:val="28"/>
        </w:rPr>
        <w:t>条中第1条计算。</w:t>
      </w:r>
    </w:p>
    <w:p w14:paraId="07535ADD">
      <w:pPr>
        <w:keepNext w:val="0"/>
        <w:keepLines w:val="0"/>
        <w:pageBreakBefore w:val="0"/>
        <w:tabs>
          <w:tab w:val="left" w:pos="821"/>
        </w:tabs>
        <w:kinsoku/>
        <w:wordWrap/>
        <w:overflowPunct/>
        <w:topLinePunct w:val="0"/>
        <w:autoSpaceDE/>
        <w:autoSpaceDN/>
        <w:bidi w:val="0"/>
        <w:snapToGrid/>
        <w:spacing w:line="240" w:lineRule="auto"/>
        <w:ind w:left="2"/>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2.细化项 </w:t>
      </w:r>
      <w:r>
        <w:rPr>
          <w:rFonts w:hint="default" w:ascii="Times New Roman" w:hAnsi="Times New Roman" w:cs="Times New Roman"/>
          <w:i/>
          <w:sz w:val="28"/>
          <w:szCs w:val="28"/>
        </w:rPr>
        <w:t>Q51b</w:t>
      </w:r>
      <w:r>
        <w:rPr>
          <w:rFonts w:hint="eastAsia" w:cs="Times New Roman"/>
          <w:i/>
          <w:sz w:val="28"/>
          <w:szCs w:val="28"/>
          <w:lang w:eastAsia="zh-CN"/>
        </w:rPr>
        <w:t>：</w:t>
      </w:r>
      <w:r>
        <w:rPr>
          <w:rFonts w:hint="default" w:ascii="Times New Roman" w:hAnsi="Times New Roman" w:cs="Times New Roman"/>
          <w:sz w:val="28"/>
          <w:szCs w:val="28"/>
        </w:rPr>
        <w:t>预制外墙板（含预制飘窗）主要采用混凝土材料时，预制部品部件的应用比例计算：</w:t>
      </w:r>
    </w:p>
    <w:p w14:paraId="352F3EAD">
      <w:pPr>
        <w:keepNext w:val="0"/>
        <w:keepLines w:val="0"/>
        <w:pageBreakBefore w:val="0"/>
        <w:tabs>
          <w:tab w:val="left" w:pos="821"/>
        </w:tabs>
        <w:kinsoku/>
        <w:wordWrap/>
        <w:overflowPunct/>
        <w:topLinePunct w:val="0"/>
        <w:autoSpaceDE/>
        <w:autoSpaceDN/>
        <w:bidi w:val="0"/>
        <w:snapToGrid/>
        <w:spacing w:line="240" w:lineRule="auto"/>
        <w:ind w:left="2"/>
        <w:jc w:val="center"/>
        <w:textAlignment w:val="auto"/>
        <w:rPr>
          <w:rFonts w:hint="default" w:ascii="Times New Roman" w:hAnsi="Times New Roman" w:cs="Times New Roman"/>
          <w:sz w:val="28"/>
          <w:szCs w:val="28"/>
          <w:u w:val="single"/>
        </w:rPr>
      </w:pPr>
      <w:r>
        <w:rPr>
          <w:rFonts w:hint="default" w:ascii="Times New Roman" w:hAnsi="Times New Roman" w:cs="Times New Roman"/>
          <w:i/>
          <w:sz w:val="28"/>
          <w:szCs w:val="28"/>
        </w:rPr>
        <w:t>q51b=Vw/(V+Vw)</w:t>
      </w:r>
      <w:r>
        <w:rPr>
          <w:rFonts w:hint="default" w:ascii="Times New Roman" w:hAnsi="Times New Roman" w:cs="Times New Roman"/>
          <w:sz w:val="28"/>
          <w:szCs w:val="28"/>
        </w:rPr>
        <w:t>×100%</w:t>
      </w:r>
    </w:p>
    <w:p w14:paraId="38175209">
      <w:pPr>
        <w:keepNext w:val="0"/>
        <w:keepLines w:val="0"/>
        <w:pageBreakBefore w:val="0"/>
        <w:kinsoku/>
        <w:wordWrap/>
        <w:overflowPunct/>
        <w:topLinePunct w:val="0"/>
        <w:autoSpaceDE/>
        <w:autoSpaceDN/>
        <w:bidi w:val="0"/>
        <w:snapToGrid/>
        <w:spacing w:line="240" w:lineRule="auto"/>
        <w:ind w:left="2"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q51b</w:t>
      </w:r>
      <w:r>
        <w:rPr>
          <w:rFonts w:hint="default" w:ascii="Times New Roman" w:hAnsi="Times New Roman" w:cs="Times New Roman"/>
          <w:i/>
          <w:spacing w:val="-1"/>
          <w:sz w:val="28"/>
          <w:szCs w:val="28"/>
        </w:rPr>
        <w:t>──</w:t>
      </w:r>
      <w:r>
        <w:rPr>
          <w:rFonts w:hint="default" w:ascii="Times New Roman" w:hAnsi="Times New Roman" w:cs="Times New Roman"/>
          <w:sz w:val="28"/>
          <w:szCs w:val="28"/>
        </w:rPr>
        <w:t>预制外墙板的应用比例；</w:t>
      </w:r>
    </w:p>
    <w:p w14:paraId="54502E4B">
      <w:pPr>
        <w:keepNext w:val="0"/>
        <w:keepLines w:val="0"/>
        <w:pageBreakBefore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 xml:space="preserve">V </w:t>
      </w:r>
      <w:r>
        <w:rPr>
          <w:rFonts w:hint="default" w:ascii="Times New Roman" w:hAnsi="Times New Roman" w:cs="Times New Roman"/>
          <w:i/>
          <w:spacing w:val="-1"/>
          <w:sz w:val="28"/>
          <w:szCs w:val="28"/>
        </w:rPr>
        <w:t>──</w:t>
      </w:r>
      <w:r>
        <w:rPr>
          <w:rFonts w:hint="default" w:ascii="Times New Roman" w:hAnsi="Times New Roman" w:cs="Times New Roman"/>
          <w:sz w:val="28"/>
          <w:szCs w:val="28"/>
        </w:rPr>
        <w:t>柱、支撑、承重墙、延性墙板等主体结构竖向构件混凝土总体积。</w:t>
      </w:r>
    </w:p>
    <w:p w14:paraId="76597B3A">
      <w:pPr>
        <w:keepNext w:val="0"/>
        <w:keepLines w:val="0"/>
        <w:pageBreakBefore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Vw</w:t>
      </w:r>
      <w:r>
        <w:rPr>
          <w:rFonts w:hint="default" w:ascii="Times New Roman" w:hAnsi="Times New Roman" w:cs="Times New Roman"/>
          <w:i/>
          <w:spacing w:val="-1"/>
          <w:sz w:val="28"/>
          <w:szCs w:val="28"/>
        </w:rPr>
        <w:t>──</w:t>
      </w:r>
      <w:r>
        <w:rPr>
          <w:rFonts w:hint="default" w:ascii="Times New Roman" w:hAnsi="Times New Roman" w:cs="Times New Roman"/>
          <w:sz w:val="28"/>
          <w:szCs w:val="28"/>
        </w:rPr>
        <w:t>预制外墙板（含预制飘窗）混凝土体积之和。</w:t>
      </w:r>
    </w:p>
    <w:p w14:paraId="40EBF57C">
      <w:pPr>
        <w:keepNext w:val="0"/>
        <w:keepLines w:val="0"/>
        <w:pageBreakBefore w:val="0"/>
        <w:tabs>
          <w:tab w:val="left" w:pos="821"/>
        </w:tabs>
        <w:kinsoku/>
        <w:wordWrap/>
        <w:overflowPunct/>
        <w:topLinePunct w:val="0"/>
        <w:autoSpaceDE/>
        <w:autoSpaceDN/>
        <w:bidi w:val="0"/>
        <w:snapToGrid/>
        <w:spacing w:line="240" w:lineRule="auto"/>
        <w:ind w:left="2"/>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3.细化项 </w:t>
      </w:r>
      <w:r>
        <w:rPr>
          <w:rFonts w:hint="default" w:ascii="Times New Roman" w:hAnsi="Times New Roman" w:cs="Times New Roman"/>
          <w:i/>
          <w:sz w:val="28"/>
          <w:szCs w:val="28"/>
        </w:rPr>
        <w:t>Q52a</w:t>
      </w:r>
      <w:r>
        <w:rPr>
          <w:rFonts w:hint="eastAsia" w:cs="Times New Roman"/>
          <w:i/>
          <w:sz w:val="28"/>
          <w:szCs w:val="28"/>
          <w:lang w:eastAsia="zh-CN"/>
        </w:rPr>
        <w:t>：</w:t>
      </w:r>
      <w:r>
        <w:rPr>
          <w:rFonts w:hint="default" w:ascii="Times New Roman" w:hAnsi="Times New Roman" w:cs="Times New Roman"/>
          <w:sz w:val="28"/>
          <w:szCs w:val="28"/>
        </w:rPr>
        <w:t>围护墙采用墙体、保温、隔热集成一体化的应用比例计算：</w:t>
      </w:r>
    </w:p>
    <w:p w14:paraId="64DCA6A0">
      <w:pPr>
        <w:keepNext w:val="0"/>
        <w:keepLines w:val="0"/>
        <w:pageBreakBefore w:val="0"/>
        <w:tabs>
          <w:tab w:val="left" w:pos="821"/>
        </w:tabs>
        <w:kinsoku/>
        <w:wordWrap/>
        <w:overflowPunct/>
        <w:topLinePunct w:val="0"/>
        <w:autoSpaceDE/>
        <w:autoSpaceDN/>
        <w:bidi w:val="0"/>
        <w:snapToGrid/>
        <w:spacing w:line="240" w:lineRule="auto"/>
        <w:ind w:left="2"/>
        <w:jc w:val="center"/>
        <w:textAlignment w:val="auto"/>
        <w:rPr>
          <w:rFonts w:hint="default" w:ascii="Times New Roman" w:hAnsi="Times New Roman" w:cs="Times New Roman"/>
          <w:sz w:val="28"/>
          <w:szCs w:val="28"/>
        </w:rPr>
      </w:pPr>
      <w:r>
        <w:rPr>
          <w:rFonts w:hint="default" w:ascii="Times New Roman" w:hAnsi="Times New Roman" w:cs="Times New Roman"/>
          <w:i/>
          <w:sz w:val="28"/>
          <w:szCs w:val="28"/>
        </w:rPr>
        <w:t>q52a =A52a/Aw2</w:t>
      </w:r>
      <w:r>
        <w:rPr>
          <w:rFonts w:hint="default" w:ascii="Times New Roman" w:hAnsi="Times New Roman" w:cs="Times New Roman"/>
          <w:sz w:val="28"/>
          <w:szCs w:val="28"/>
        </w:rPr>
        <w:t>×100%</w:t>
      </w:r>
    </w:p>
    <w:p w14:paraId="4A0C263F">
      <w:pPr>
        <w:keepNext w:val="0"/>
        <w:keepLines w:val="0"/>
        <w:pageBreakBefore w:val="0"/>
        <w:kinsoku/>
        <w:wordWrap/>
        <w:overflowPunct/>
        <w:topLinePunct w:val="0"/>
        <w:autoSpaceDE/>
        <w:autoSpaceDN/>
        <w:bidi w:val="0"/>
        <w:snapToGrid/>
        <w:spacing w:line="240" w:lineRule="auto"/>
        <w:ind w:left="2"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q52a</w:t>
      </w:r>
      <w:r>
        <w:rPr>
          <w:rFonts w:hint="default" w:ascii="Times New Roman" w:hAnsi="Times New Roman" w:cs="Times New Roman"/>
          <w:i/>
          <w:spacing w:val="-1"/>
          <w:sz w:val="28"/>
          <w:szCs w:val="28"/>
        </w:rPr>
        <w:t>──</w:t>
      </w:r>
      <w:r>
        <w:rPr>
          <w:rFonts w:hint="default" w:ascii="Times New Roman" w:hAnsi="Times New Roman" w:cs="Times New Roman"/>
          <w:sz w:val="28"/>
          <w:szCs w:val="28"/>
        </w:rPr>
        <w:t>围护墙采用墙体、保温、隔热一体化的应用比例；</w:t>
      </w:r>
    </w:p>
    <w:p w14:paraId="580F8BDF">
      <w:pPr>
        <w:keepNext w:val="0"/>
        <w:keepLines w:val="0"/>
        <w:pageBreakBefore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A52a</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各楼层围护墙采用墙体、保温、隔热一体化墙体外表面积之和，计算时可不扣除门、窗及预留洞口等的面积，可扣除承重竖向构件的面积；</w:t>
      </w:r>
    </w:p>
    <w:p w14:paraId="130E3349">
      <w:pPr>
        <w:keepNext w:val="0"/>
        <w:keepLines w:val="0"/>
        <w:pageBreakBefore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Aw2</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各楼层外围护墙外表总面积，计算时可不扣除门、窗及预留洞口等的面积，可扣除承重竖向构件的面积。</w:t>
      </w:r>
    </w:p>
    <w:p w14:paraId="7BE5E886">
      <w:pPr>
        <w:keepNext w:val="0"/>
        <w:keepLines w:val="0"/>
        <w:pageBreakBefore w:val="0"/>
        <w:tabs>
          <w:tab w:val="left" w:pos="821"/>
        </w:tabs>
        <w:kinsoku/>
        <w:wordWrap/>
        <w:overflowPunct/>
        <w:topLinePunct w:val="0"/>
        <w:autoSpaceDE/>
        <w:autoSpaceDN/>
        <w:bidi w:val="0"/>
        <w:snapToGrid/>
        <w:spacing w:line="240" w:lineRule="auto"/>
        <w:ind w:left="2"/>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4.细化项 </w:t>
      </w:r>
      <w:r>
        <w:rPr>
          <w:rFonts w:hint="default" w:ascii="Times New Roman" w:hAnsi="Times New Roman" w:cs="Times New Roman"/>
          <w:i/>
          <w:sz w:val="28"/>
          <w:szCs w:val="28"/>
        </w:rPr>
        <w:t>Q52b</w:t>
      </w:r>
      <w:r>
        <w:rPr>
          <w:rFonts w:hint="eastAsia" w:cs="Times New Roman"/>
          <w:i/>
          <w:sz w:val="28"/>
          <w:szCs w:val="28"/>
          <w:lang w:eastAsia="zh-CN"/>
        </w:rPr>
        <w:t>：</w:t>
      </w:r>
      <w:r>
        <w:rPr>
          <w:rFonts w:hint="default" w:ascii="Times New Roman" w:hAnsi="Times New Roman" w:cs="Times New Roman"/>
          <w:sz w:val="28"/>
          <w:szCs w:val="28"/>
        </w:rPr>
        <w:t>内隔墙采用墙体、管线集成一体化的应用比例计算：</w:t>
      </w:r>
    </w:p>
    <w:p w14:paraId="2E0485F8">
      <w:pPr>
        <w:keepNext w:val="0"/>
        <w:keepLines w:val="0"/>
        <w:pageBreakBefore w:val="0"/>
        <w:tabs>
          <w:tab w:val="left" w:pos="821"/>
        </w:tabs>
        <w:kinsoku/>
        <w:wordWrap/>
        <w:overflowPunct/>
        <w:topLinePunct w:val="0"/>
        <w:autoSpaceDE/>
        <w:autoSpaceDN/>
        <w:bidi w:val="0"/>
        <w:snapToGrid/>
        <w:spacing w:line="240" w:lineRule="auto"/>
        <w:ind w:left="2"/>
        <w:jc w:val="center"/>
        <w:textAlignment w:val="auto"/>
        <w:rPr>
          <w:rFonts w:hint="default" w:ascii="Times New Roman" w:hAnsi="Times New Roman" w:cs="Times New Roman"/>
          <w:sz w:val="28"/>
          <w:szCs w:val="28"/>
        </w:rPr>
      </w:pPr>
      <w:r>
        <w:rPr>
          <w:rFonts w:hint="default" w:ascii="Times New Roman" w:hAnsi="Times New Roman" w:cs="Times New Roman"/>
          <w:i/>
          <w:sz w:val="28"/>
          <w:szCs w:val="28"/>
        </w:rPr>
        <w:t>q52b=A52b/Aw3</w:t>
      </w:r>
      <w:r>
        <w:rPr>
          <w:rFonts w:hint="default" w:ascii="Times New Roman" w:hAnsi="Times New Roman" w:cs="Times New Roman"/>
          <w:sz w:val="28"/>
          <w:szCs w:val="28"/>
        </w:rPr>
        <w:t>×100%</w:t>
      </w:r>
    </w:p>
    <w:p w14:paraId="1B3C886F">
      <w:pPr>
        <w:keepNext w:val="0"/>
        <w:keepLines w:val="0"/>
        <w:pageBreakBefore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sz w:val="28"/>
          <w:szCs w:val="28"/>
        </w:rPr>
        <w:t>q52b</w:t>
      </w:r>
      <w:r>
        <w:rPr>
          <w:rFonts w:hint="default" w:ascii="Times New Roman" w:hAnsi="Times New Roman" w:cs="Times New Roman"/>
          <w:i/>
          <w:spacing w:val="-1"/>
          <w:sz w:val="28"/>
          <w:szCs w:val="28"/>
        </w:rPr>
        <w:t>──</w:t>
      </w:r>
      <w:r>
        <w:rPr>
          <w:rFonts w:hint="default" w:ascii="Times New Roman" w:hAnsi="Times New Roman" w:cs="Times New Roman"/>
          <w:sz w:val="28"/>
          <w:szCs w:val="28"/>
        </w:rPr>
        <w:t>内隔墙采用墙体、管线一体化的应用比例；</w:t>
      </w:r>
    </w:p>
    <w:p w14:paraId="32D791C5">
      <w:pPr>
        <w:keepNext w:val="0"/>
        <w:keepLines w:val="0"/>
        <w:pageBreakBefore w:val="0"/>
        <w:kinsoku/>
        <w:wordWrap/>
        <w:overflowPunct/>
        <w:topLinePunct w:val="0"/>
        <w:autoSpaceDE/>
        <w:autoSpaceDN/>
        <w:bidi w:val="0"/>
        <w:snapToGrid/>
        <w:spacing w:line="240" w:lineRule="auto"/>
        <w:ind w:firstLine="560" w:firstLineChars="200"/>
        <w:textAlignment w:val="auto"/>
        <w:rPr>
          <w:rFonts w:hint="eastAsia" w:cs="Times New Roman"/>
          <w:sz w:val="28"/>
          <w:szCs w:val="28"/>
          <w:lang w:eastAsia="zh-CN"/>
        </w:rPr>
      </w:pPr>
      <w:r>
        <w:rPr>
          <w:rFonts w:hint="default" w:ascii="Times New Roman" w:hAnsi="Times New Roman" w:cs="Times New Roman"/>
          <w:i/>
          <w:sz w:val="28"/>
          <w:szCs w:val="28"/>
        </w:rPr>
        <w:t>A52b</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各楼层内隔墙采用墙体、管线一体化墙体表面积之和，计算时可不扣除门、窗及预留洞口等的面积</w:t>
      </w:r>
      <w:r>
        <w:rPr>
          <w:rFonts w:hint="eastAsia" w:cs="Times New Roman"/>
          <w:sz w:val="28"/>
          <w:szCs w:val="28"/>
          <w:lang w:eastAsia="zh-CN"/>
        </w:rPr>
        <w:t>；</w:t>
      </w:r>
    </w:p>
    <w:p w14:paraId="3E3FADA9">
      <w:pPr>
        <w:keepNext w:val="0"/>
        <w:keepLines w:val="0"/>
        <w:pageBreakBefore w:val="0"/>
        <w:kinsoku/>
        <w:wordWrap/>
        <w:overflowPunct/>
        <w:topLinePunct w:val="0"/>
        <w:autoSpaceDE/>
        <w:autoSpaceDN/>
        <w:bidi w:val="0"/>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i/>
          <w:sz w:val="28"/>
          <w:szCs w:val="28"/>
        </w:rPr>
        <w:t xml:space="preserve">Aw3 </w:t>
      </w:r>
      <w:r>
        <w:rPr>
          <w:rFonts w:hint="default" w:ascii="Times New Roman" w:hAnsi="Times New Roman" w:cs="Times New Roman"/>
          <w:i/>
          <w:spacing w:val="-1"/>
          <w:sz w:val="28"/>
          <w:szCs w:val="28"/>
        </w:rPr>
        <w:t>──</w:t>
      </w:r>
      <w:r>
        <w:rPr>
          <w:rFonts w:hint="default" w:ascii="Times New Roman" w:hAnsi="Times New Roman" w:cs="Times New Roman"/>
          <w:sz w:val="28"/>
          <w:szCs w:val="28"/>
        </w:rPr>
        <w:t>各楼层内隔墙墙面总面积，计算时可不扣除门、窗及预留洞口等的面积，可扣除承重竖向构件的面积。</w:t>
      </w:r>
    </w:p>
    <w:p w14:paraId="519C3BF8">
      <w:pPr>
        <w:keepNext w:val="0"/>
        <w:keepLines w:val="0"/>
        <w:pageBreakBefore w:val="0"/>
        <w:tabs>
          <w:tab w:val="left" w:pos="842"/>
        </w:tabs>
        <w:kinsoku/>
        <w:wordWrap/>
        <w:overflowPunct/>
        <w:topLinePunct w:val="0"/>
        <w:autoSpaceDE/>
        <w:autoSpaceDN/>
        <w:bidi w:val="0"/>
        <w:snapToGrid/>
        <w:spacing w:line="240" w:lineRule="auto"/>
        <w:ind w:left="2"/>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5.细化项</w:t>
      </w:r>
      <w:r>
        <w:rPr>
          <w:rFonts w:hint="default" w:ascii="Times New Roman" w:hAnsi="Times New Roman" w:cs="Times New Roman"/>
          <w:i/>
          <w:sz w:val="28"/>
          <w:szCs w:val="28"/>
        </w:rPr>
        <w:t>Q53a</w:t>
      </w:r>
      <w:r>
        <w:rPr>
          <w:rFonts w:hint="eastAsia" w:cs="Times New Roman"/>
          <w:i/>
          <w:sz w:val="28"/>
          <w:szCs w:val="28"/>
          <w:lang w:eastAsia="zh-CN"/>
        </w:rPr>
        <w:t>：</w:t>
      </w:r>
      <w:r>
        <w:rPr>
          <w:rFonts w:hint="default" w:ascii="Times New Roman" w:hAnsi="Times New Roman" w:cs="Times New Roman"/>
          <w:sz w:val="28"/>
          <w:szCs w:val="28"/>
        </w:rPr>
        <w:t>干式工法楼面、地面的应用比例按本细则第</w:t>
      </w:r>
      <w:r>
        <w:rPr>
          <w:rFonts w:hint="eastAsia" w:cs="Times New Roman"/>
          <w:sz w:val="28"/>
          <w:szCs w:val="28"/>
          <w:lang w:eastAsia="zh-CN"/>
        </w:rPr>
        <w:t>（三）</w:t>
      </w:r>
      <w:r>
        <w:rPr>
          <w:rFonts w:hint="default" w:ascii="Times New Roman" w:hAnsi="Times New Roman" w:cs="Times New Roman"/>
          <w:sz w:val="28"/>
          <w:szCs w:val="28"/>
        </w:rPr>
        <w:t>条中第（2）条计算。</w:t>
      </w:r>
    </w:p>
    <w:p w14:paraId="65D810DB">
      <w:pPr>
        <w:keepNext w:val="0"/>
        <w:keepLines w:val="0"/>
        <w:pageBreakBefore w:val="0"/>
        <w:tabs>
          <w:tab w:val="left" w:pos="842"/>
        </w:tabs>
        <w:kinsoku/>
        <w:wordWrap/>
        <w:overflowPunct/>
        <w:topLinePunct w:val="0"/>
        <w:autoSpaceDE/>
        <w:autoSpaceDN/>
        <w:bidi w:val="0"/>
        <w:snapToGrid/>
        <w:spacing w:line="240" w:lineRule="auto"/>
        <w:ind w:left="2"/>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6.细化项</w:t>
      </w:r>
      <w:r>
        <w:rPr>
          <w:rFonts w:hint="default" w:ascii="Times New Roman" w:hAnsi="Times New Roman" w:cs="Times New Roman"/>
          <w:i/>
          <w:sz w:val="28"/>
          <w:szCs w:val="28"/>
        </w:rPr>
        <w:t>Q53b</w:t>
      </w:r>
      <w:r>
        <w:rPr>
          <w:rFonts w:hint="eastAsia" w:cs="Times New Roman"/>
          <w:i/>
          <w:sz w:val="28"/>
          <w:szCs w:val="28"/>
          <w:lang w:eastAsia="zh-CN"/>
        </w:rPr>
        <w:t>：</w:t>
      </w:r>
      <w:r>
        <w:rPr>
          <w:rFonts w:hint="default" w:ascii="Times New Roman" w:hAnsi="Times New Roman" w:cs="Times New Roman"/>
          <w:sz w:val="28"/>
          <w:szCs w:val="28"/>
        </w:rPr>
        <w:t>集成厨房的墙面、顶面和地面中干式工法的应用比例按本细则中第</w:t>
      </w:r>
      <w:r>
        <w:rPr>
          <w:rFonts w:hint="eastAsia" w:cs="Times New Roman"/>
          <w:sz w:val="28"/>
          <w:szCs w:val="28"/>
          <w:lang w:eastAsia="zh-CN"/>
        </w:rPr>
        <w:t>（三）</w:t>
      </w:r>
      <w:r>
        <w:rPr>
          <w:rFonts w:hint="default" w:ascii="Times New Roman" w:hAnsi="Times New Roman" w:cs="Times New Roman"/>
          <w:sz w:val="28"/>
          <w:szCs w:val="28"/>
        </w:rPr>
        <w:t>条中第（3）条计算。</w:t>
      </w:r>
    </w:p>
    <w:p w14:paraId="74E261EB">
      <w:pPr>
        <w:keepNext w:val="0"/>
        <w:keepLines w:val="0"/>
        <w:pageBreakBefore w:val="0"/>
        <w:widowControl/>
        <w:tabs>
          <w:tab w:val="left" w:pos="842"/>
        </w:tabs>
        <w:kinsoku/>
        <w:wordWrap/>
        <w:overflowPunct/>
        <w:topLinePunct w:val="0"/>
        <w:autoSpaceDE/>
        <w:autoSpaceDN/>
        <w:bidi w:val="0"/>
        <w:snapToGrid/>
        <w:spacing w:line="240" w:lineRule="auto"/>
        <w:ind w:right="12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7.细化项</w:t>
      </w:r>
      <w:r>
        <w:rPr>
          <w:rFonts w:hint="default" w:ascii="Times New Roman" w:hAnsi="Times New Roman" w:cs="Times New Roman"/>
          <w:i/>
          <w:sz w:val="28"/>
          <w:szCs w:val="28"/>
        </w:rPr>
        <w:t>Q53c</w:t>
      </w:r>
      <w:r>
        <w:rPr>
          <w:rFonts w:hint="eastAsia" w:cs="Times New Roman"/>
          <w:i/>
          <w:sz w:val="28"/>
          <w:szCs w:val="28"/>
          <w:lang w:eastAsia="zh-CN"/>
        </w:rPr>
        <w:t>：</w:t>
      </w:r>
      <w:r>
        <w:rPr>
          <w:rFonts w:hint="default" w:ascii="Times New Roman" w:hAnsi="Times New Roman" w:cs="Times New Roman"/>
          <w:sz w:val="28"/>
          <w:szCs w:val="28"/>
        </w:rPr>
        <w:t>集成卫生间的墙面、顶面和地面中干式工法的应用比例按本细则中第</w:t>
      </w:r>
      <w:r>
        <w:rPr>
          <w:rFonts w:hint="eastAsia" w:cs="Times New Roman"/>
          <w:sz w:val="28"/>
          <w:szCs w:val="28"/>
          <w:lang w:eastAsia="zh-CN"/>
        </w:rPr>
        <w:t>（三）</w:t>
      </w:r>
      <w:r>
        <w:rPr>
          <w:rFonts w:hint="default" w:ascii="Times New Roman" w:hAnsi="Times New Roman" w:cs="Times New Roman"/>
          <w:sz w:val="28"/>
          <w:szCs w:val="28"/>
        </w:rPr>
        <w:t>条中第（4）条计算。</w:t>
      </w:r>
    </w:p>
    <w:p w14:paraId="48B2E4B8">
      <w:pPr>
        <w:keepNext w:val="0"/>
        <w:keepLines w:val="0"/>
        <w:pageBreakBefore w:val="0"/>
        <w:widowControl/>
        <w:tabs>
          <w:tab w:val="left" w:pos="842"/>
        </w:tabs>
        <w:kinsoku/>
        <w:wordWrap/>
        <w:overflowPunct/>
        <w:topLinePunct w:val="0"/>
        <w:autoSpaceDE/>
        <w:autoSpaceDN/>
        <w:bidi w:val="0"/>
        <w:snapToGrid/>
        <w:spacing w:line="240" w:lineRule="auto"/>
        <w:ind w:left="2" w:right="12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8.细化项</w:t>
      </w:r>
      <w:r>
        <w:rPr>
          <w:rFonts w:hint="default" w:ascii="Times New Roman" w:hAnsi="Times New Roman" w:cs="Times New Roman"/>
          <w:i/>
          <w:sz w:val="28"/>
          <w:szCs w:val="28"/>
        </w:rPr>
        <w:t>Q53d</w:t>
      </w:r>
      <w:r>
        <w:rPr>
          <w:rFonts w:hint="eastAsia" w:cs="Times New Roman"/>
          <w:i/>
          <w:sz w:val="28"/>
          <w:szCs w:val="28"/>
          <w:lang w:eastAsia="zh-CN"/>
        </w:rPr>
        <w:t>：</w:t>
      </w:r>
      <w:r>
        <w:rPr>
          <w:rFonts w:hint="default" w:ascii="Times New Roman" w:hAnsi="Times New Roman" w:cs="Times New Roman"/>
          <w:sz w:val="28"/>
          <w:szCs w:val="28"/>
        </w:rPr>
        <w:t>管线分离比例按本细则中第</w:t>
      </w:r>
      <w:r>
        <w:rPr>
          <w:rFonts w:hint="eastAsia" w:cs="Times New Roman"/>
          <w:sz w:val="28"/>
          <w:szCs w:val="28"/>
          <w:lang w:eastAsia="zh-CN"/>
        </w:rPr>
        <w:t>（三）</w:t>
      </w:r>
      <w:r>
        <w:rPr>
          <w:rFonts w:hint="default" w:ascii="Times New Roman" w:hAnsi="Times New Roman" w:cs="Times New Roman"/>
          <w:sz w:val="28"/>
          <w:szCs w:val="28"/>
        </w:rPr>
        <w:t>条中第5条计算。</w:t>
      </w:r>
    </w:p>
    <w:p w14:paraId="46FF19F9">
      <w:pPr>
        <w:keepNext w:val="0"/>
        <w:keepLines w:val="0"/>
        <w:pageBreakBefore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（六）鼓励项评价分值Q6说明</w:t>
      </w:r>
    </w:p>
    <w:p w14:paraId="5CD3605F">
      <w:pPr>
        <w:keepNext w:val="0"/>
        <w:keepLines w:val="0"/>
        <w:pageBreakBefore w:val="0"/>
        <w:widowControl/>
        <w:tabs>
          <w:tab w:val="left" w:pos="842"/>
        </w:tabs>
        <w:kinsoku/>
        <w:wordWrap/>
        <w:overflowPunct/>
        <w:topLinePunct w:val="0"/>
        <w:autoSpaceDE/>
        <w:autoSpaceDN/>
        <w:bidi w:val="0"/>
        <w:snapToGrid/>
        <w:spacing w:line="240" w:lineRule="auto"/>
        <w:ind w:right="119"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分项计算、说明或提供证明材料</w:t>
      </w:r>
    </w:p>
    <w:p w14:paraId="26DFACFF">
      <w:pPr>
        <w:keepNext w:val="0"/>
        <w:keepLines w:val="0"/>
        <w:pageBreakBefore w:val="0"/>
        <w:kinsoku/>
        <w:wordWrap/>
        <w:overflowPunct/>
        <w:topLinePunct w:val="0"/>
        <w:autoSpaceDE/>
        <w:autoSpaceDN/>
        <w:bidi w:val="0"/>
        <w:adjustRightInd w:val="0"/>
        <w:snapToGrid/>
        <w:spacing w:line="240" w:lineRule="auto"/>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（七）装配率计算</w:t>
      </w:r>
    </w:p>
    <w:p w14:paraId="3C881E03">
      <w:pPr>
        <w:keepNext w:val="0"/>
        <w:keepLines w:val="0"/>
        <w:pageBreakBefore w:val="0"/>
        <w:tabs>
          <w:tab w:val="left" w:pos="7384"/>
        </w:tabs>
        <w:kinsoku/>
        <w:wordWrap/>
        <w:overflowPunct/>
        <w:topLinePunct w:val="0"/>
        <w:autoSpaceDE/>
        <w:autoSpaceDN/>
        <w:bidi w:val="0"/>
        <w:adjustRightInd w:val="0"/>
        <w:snapToGrid/>
        <w:spacing w:line="240" w:lineRule="auto"/>
        <w:ind w:firstLine="1120" w:firstLineChars="400"/>
        <w:textAlignment w:val="auto"/>
        <w:rPr>
          <w:rFonts w:hint="default" w:ascii="Times New Roman" w:hAnsi="Times New Roman" w:cs="Times New Roman"/>
          <w:i/>
          <w:sz w:val="28"/>
          <w:szCs w:val="28"/>
        </w:rPr>
      </w:pPr>
      <w:r>
        <w:rPr>
          <w:rFonts w:hint="default" w:ascii="Times New Roman" w:hAnsi="Times New Roman" w:cs="Times New Roman"/>
          <w:i/>
          <w:sz w:val="28"/>
          <w:szCs w:val="28"/>
        </w:rPr>
        <w:t>P ={</w:t>
      </w:r>
      <w:r>
        <w:rPr>
          <w:rFonts w:hint="eastAsia" w:cs="Times New Roman"/>
          <w:i/>
          <w:sz w:val="28"/>
          <w:szCs w:val="28"/>
          <w:lang w:eastAsia="zh-CN"/>
        </w:rPr>
        <w:t>(</w:t>
      </w:r>
      <w:r>
        <w:rPr>
          <w:rFonts w:hint="default" w:ascii="Times New Roman" w:hAnsi="Times New Roman" w:cs="Times New Roman"/>
          <w:i/>
          <w:sz w:val="28"/>
          <w:szCs w:val="28"/>
        </w:rPr>
        <w:t>Q1+Q2+Q3+Q5</w:t>
      </w:r>
      <w:r>
        <w:rPr>
          <w:rFonts w:hint="eastAsia" w:cs="Times New Roman"/>
          <w:i/>
          <w:sz w:val="28"/>
          <w:szCs w:val="28"/>
          <w:lang w:eastAsia="zh-CN"/>
        </w:rPr>
        <w:t>)</w:t>
      </w:r>
      <w:r>
        <w:rPr>
          <w:rFonts w:hint="default" w:ascii="Times New Roman" w:hAnsi="Times New Roman" w:cs="Times New Roman"/>
          <w:i/>
          <w:sz w:val="28"/>
          <w:szCs w:val="28"/>
        </w:rPr>
        <w:t>/(100-Q4)x100%｝+｛Q6/100x100%｝</w:t>
      </w:r>
    </w:p>
    <w:p w14:paraId="7370A5F3">
      <w:pPr>
        <w:pStyle w:val="6"/>
        <w:keepNext w:val="0"/>
        <w:keepLines w:val="0"/>
        <w:pageBreakBefore w:val="0"/>
        <w:kinsoku/>
        <w:wordWrap/>
        <w:overflowPunct/>
        <w:topLinePunct w:val="0"/>
        <w:autoSpaceDE/>
        <w:autoSpaceDN/>
        <w:bidi w:val="0"/>
        <w:adjustRightInd w:val="0"/>
        <w:snapToGrid/>
        <w:spacing w:line="240" w:lineRule="auto"/>
        <w:ind w:firstLine="576" w:firstLineChars="200"/>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式中：</w:t>
      </w:r>
    </w:p>
    <w:p w14:paraId="25277205">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val="0"/>
          <w:iCs/>
          <w:spacing w:val="4"/>
          <w:sz w:val="28"/>
          <w:szCs w:val="28"/>
        </w:rPr>
      </w:pPr>
      <w:r>
        <w:rPr>
          <w:rFonts w:hint="default" w:ascii="Times New Roman" w:hAnsi="Times New Roman" w:cs="Times New Roman"/>
          <w:i w:val="0"/>
          <w:iCs/>
          <w:sz w:val="28"/>
          <w:szCs w:val="28"/>
        </w:rPr>
        <w:t>P</w:t>
      </w:r>
      <w:r>
        <w:rPr>
          <w:rFonts w:hint="default" w:ascii="Times New Roman" w:hAnsi="Times New Roman" w:cs="Times New Roman"/>
          <w:i/>
          <w:spacing w:val="-1"/>
          <w:sz w:val="28"/>
          <w:szCs w:val="28"/>
        </w:rPr>
        <w:t>──</w:t>
      </w:r>
      <w:r>
        <w:rPr>
          <w:rFonts w:hint="default" w:ascii="Times New Roman" w:hAnsi="Times New Roman" w:cs="Times New Roman"/>
          <w:i w:val="0"/>
          <w:iCs/>
          <w:spacing w:val="4"/>
          <w:sz w:val="28"/>
          <w:szCs w:val="28"/>
        </w:rPr>
        <w:t>装配率；</w:t>
      </w:r>
    </w:p>
    <w:p w14:paraId="3A06D71A">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rPr>
        <w:t>Q1</w:t>
      </w:r>
      <w:r>
        <w:rPr>
          <w:rFonts w:hint="default" w:ascii="Times New Roman" w:hAnsi="Times New Roman" w:cs="Times New Roman"/>
          <w:i/>
          <w:spacing w:val="-1"/>
          <w:sz w:val="28"/>
          <w:szCs w:val="28"/>
        </w:rPr>
        <w:t>──</w:t>
      </w:r>
      <w:r>
        <w:rPr>
          <w:rFonts w:hint="default" w:ascii="Times New Roman" w:hAnsi="Times New Roman" w:cs="Times New Roman"/>
          <w:i w:val="0"/>
          <w:iCs/>
          <w:sz w:val="28"/>
          <w:szCs w:val="28"/>
        </w:rPr>
        <w:t>主体结构指标实际得分值；</w:t>
      </w:r>
    </w:p>
    <w:p w14:paraId="10F83C1F">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rPr>
        <w:t>Q2</w:t>
      </w:r>
      <w:r>
        <w:rPr>
          <w:rFonts w:hint="default" w:ascii="Times New Roman" w:hAnsi="Times New Roman" w:cs="Times New Roman"/>
          <w:i/>
          <w:spacing w:val="-1"/>
          <w:sz w:val="28"/>
          <w:szCs w:val="28"/>
        </w:rPr>
        <w:t>──</w:t>
      </w:r>
      <w:r>
        <w:rPr>
          <w:rFonts w:hint="default" w:ascii="Times New Roman" w:hAnsi="Times New Roman" w:cs="Times New Roman"/>
          <w:i w:val="0"/>
          <w:iCs/>
          <w:sz w:val="28"/>
          <w:szCs w:val="28"/>
        </w:rPr>
        <w:t>围护墙和内隔墙指标实际得分值；</w:t>
      </w:r>
    </w:p>
    <w:p w14:paraId="0F14A5CF">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rPr>
        <w:t>Q3</w:t>
      </w:r>
      <w:r>
        <w:rPr>
          <w:rFonts w:hint="default" w:ascii="Times New Roman" w:hAnsi="Times New Roman" w:cs="Times New Roman"/>
          <w:i/>
          <w:spacing w:val="-1"/>
          <w:sz w:val="28"/>
          <w:szCs w:val="28"/>
        </w:rPr>
        <w:t>──</w:t>
      </w:r>
      <w:r>
        <w:rPr>
          <w:rFonts w:hint="default" w:ascii="Times New Roman" w:hAnsi="Times New Roman" w:cs="Times New Roman"/>
          <w:i w:val="0"/>
          <w:iCs/>
          <w:sz w:val="28"/>
          <w:szCs w:val="28"/>
        </w:rPr>
        <w:t>装修与设备管线指标实际得分值；</w:t>
      </w:r>
    </w:p>
    <w:p w14:paraId="257F46ED">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lang w:val="zh-CN"/>
        </w:rPr>
        <w:t>Q4</w:t>
      </w:r>
      <w:r>
        <w:rPr>
          <w:rFonts w:hint="default" w:ascii="Times New Roman" w:hAnsi="Times New Roman" w:cs="Times New Roman"/>
          <w:i/>
          <w:spacing w:val="-1"/>
          <w:sz w:val="28"/>
          <w:szCs w:val="28"/>
        </w:rPr>
        <w:t>──</w:t>
      </w:r>
      <w:r>
        <w:rPr>
          <w:rFonts w:hint="default" w:ascii="Times New Roman" w:hAnsi="Times New Roman" w:cs="Times New Roman"/>
          <w:i w:val="0"/>
          <w:iCs/>
          <w:sz w:val="28"/>
          <w:szCs w:val="28"/>
        </w:rPr>
        <w:t>评价项目中缺少的评价项分值总和，</w:t>
      </w:r>
      <w:r>
        <w:rPr>
          <w:rFonts w:hint="eastAsia" w:ascii="Times New Roman" w:hAnsi="Times New Roman" w:cs="Times New Roman"/>
          <w:i w:val="0"/>
          <w:iCs/>
          <w:sz w:val="28"/>
          <w:szCs w:val="28"/>
          <w:lang w:eastAsia="zh-CN"/>
        </w:rPr>
        <w:t>（</w:t>
      </w:r>
      <w:r>
        <w:rPr>
          <w:rFonts w:hint="default" w:ascii="Times New Roman" w:hAnsi="Times New Roman" w:cs="Times New Roman"/>
          <w:i w:val="0"/>
          <w:iCs/>
          <w:sz w:val="28"/>
          <w:szCs w:val="28"/>
        </w:rPr>
        <w:t>不含Q5</w:t>
      </w:r>
      <w:r>
        <w:rPr>
          <w:rFonts w:hint="eastAsia" w:ascii="Times New Roman" w:hAnsi="Times New Roman" w:cs="Times New Roman"/>
          <w:i w:val="0"/>
          <w:iCs/>
          <w:sz w:val="28"/>
          <w:szCs w:val="28"/>
          <w:lang w:eastAsia="zh-CN"/>
        </w:rPr>
        <w:t>）</w:t>
      </w:r>
      <w:r>
        <w:rPr>
          <w:rFonts w:hint="default" w:ascii="Times New Roman" w:hAnsi="Times New Roman" w:cs="Times New Roman"/>
          <w:i w:val="0"/>
          <w:iCs/>
          <w:sz w:val="28"/>
          <w:szCs w:val="28"/>
        </w:rPr>
        <w:t>；</w:t>
      </w:r>
    </w:p>
    <w:p w14:paraId="0ED409E7">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lang w:val="zh-CN"/>
        </w:rPr>
        <w:t>Q5</w:t>
      </w:r>
      <w:r>
        <w:rPr>
          <w:rFonts w:hint="default" w:ascii="Times New Roman" w:hAnsi="Times New Roman" w:cs="Times New Roman"/>
          <w:i/>
          <w:spacing w:val="-1"/>
          <w:sz w:val="28"/>
          <w:szCs w:val="28"/>
        </w:rPr>
        <w:t>──</w:t>
      </w:r>
      <w:r>
        <w:rPr>
          <w:rFonts w:hint="default" w:ascii="Times New Roman" w:hAnsi="Times New Roman" w:cs="Times New Roman"/>
          <w:i w:val="0"/>
          <w:iCs/>
          <w:sz w:val="28"/>
          <w:szCs w:val="28"/>
        </w:rPr>
        <w:t>细化项实际得分值；</w:t>
      </w:r>
    </w:p>
    <w:p w14:paraId="3C8FACC0">
      <w:pPr>
        <w:pStyle w:val="6"/>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lang w:val="zh-CN"/>
        </w:rPr>
        <w:t>Q6</w:t>
      </w:r>
      <w:r>
        <w:rPr>
          <w:rFonts w:hint="default" w:ascii="Times New Roman" w:hAnsi="Times New Roman" w:cs="Times New Roman"/>
          <w:i/>
          <w:spacing w:val="-1"/>
          <w:sz w:val="28"/>
          <w:szCs w:val="28"/>
        </w:rPr>
        <w:t>──</w:t>
      </w:r>
      <w:r>
        <w:rPr>
          <w:rFonts w:hint="default" w:ascii="Times New Roman" w:hAnsi="Times New Roman" w:cs="Times New Roman"/>
          <w:i w:val="0"/>
          <w:iCs/>
          <w:sz w:val="28"/>
          <w:szCs w:val="28"/>
        </w:rPr>
        <w:t>鼓励项实际得分值。</w:t>
      </w:r>
    </w:p>
    <w:p w14:paraId="2A6A993F">
      <w:pPr>
        <w:keepNext w:val="0"/>
        <w:keepLines w:val="0"/>
        <w:pageBreakBefore w:val="0"/>
        <w:kinsoku/>
        <w:wordWrap/>
        <w:overflowPunct/>
        <w:topLinePunct w:val="0"/>
        <w:autoSpaceDE/>
        <w:autoSpaceDN/>
        <w:bidi w:val="0"/>
        <w:adjustRightInd w:val="0"/>
        <w:snapToGrid/>
        <w:spacing w:line="240" w:lineRule="auto"/>
        <w:ind w:firstLine="560" w:firstLineChars="200"/>
        <w:textAlignment w:val="auto"/>
        <w:rPr>
          <w:rFonts w:hint="default" w:ascii="Times New Roman" w:hAnsi="Times New Roman" w:cs="Times New Roman"/>
          <w:bCs/>
          <w:sz w:val="28"/>
          <w:szCs w:val="28"/>
        </w:rPr>
      </w:pPr>
    </w:p>
    <w:p w14:paraId="1EF936C5">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rPr>
      </w:pPr>
    </w:p>
    <w:sectPr>
      <w:footerReference r:id="rId5" w:type="first"/>
      <w:footerReference r:id="rId3" w:type="default"/>
      <w:footerReference r:id="rId4" w:type="even"/>
      <w:pgSz w:w="11906" w:h="16838"/>
      <w:pgMar w:top="2041" w:right="1531" w:bottom="2041" w:left="1531"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744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04573BF5">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Bd8U+5zQEAAJgDAAAOAAAAAAAAAAEAIAAAACABAABkcnMv&#10;ZTJvRG9jLnhtbFBLBQYAAAAABgAGAFkBAABfBQAAAAA=&#10;">
              <v:fill on="f" focussize="0,0"/>
              <v:stroke on="f"/>
              <v:imagedata o:title=""/>
              <o:lock v:ext="edit" aspectratio="f"/>
              <v:textbox inset="0mm,0mm,0mm,0mm" style="mso-fit-shape-to-text:t;">
                <w:txbxContent>
                  <w:p w14:paraId="04573BF5">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A543">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508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98580A">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7498580A">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7A5B">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2" name="文本框 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6A1897FC">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84hJ9EAAAADAQAADwAAAAAAAAABACAAAAAiAAAAZHJzL2Rv&#10;d25yZXYueG1sUEsBAhQAFAAAAAgAh07iQCTgAsjPAQAAlwMAAA4AAAAAAAAAAQAgAAAAIAEAAGRy&#10;cy9lMm9Eb2MueG1sUEsFBgAAAAAGAAYAWQEAAGEFAAAAAA==&#10;">
              <v:fill on="f" focussize="0,0"/>
              <v:stroke on="f"/>
              <v:imagedata o:title=""/>
              <o:lock v:ext="edit" aspectratio="f"/>
              <v:textbox inset="0mm,0mm,0mm,0mm" style="mso-fit-shape-to-text:t;">
                <w:txbxContent>
                  <w:p w14:paraId="6A1897FC">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2U0YjQ0M2I4OWQwNjYwYTg1YTkwYjFkNTI5MjAifQ=="/>
  </w:docVars>
  <w:rsids>
    <w:rsidRoot w:val="00274644"/>
    <w:rsid w:val="000305B3"/>
    <w:rsid w:val="00052651"/>
    <w:rsid w:val="00084634"/>
    <w:rsid w:val="000D706E"/>
    <w:rsid w:val="00133721"/>
    <w:rsid w:val="00172067"/>
    <w:rsid w:val="001B44A5"/>
    <w:rsid w:val="00213515"/>
    <w:rsid w:val="00231220"/>
    <w:rsid w:val="002417BD"/>
    <w:rsid w:val="00262509"/>
    <w:rsid w:val="00274644"/>
    <w:rsid w:val="002D0A78"/>
    <w:rsid w:val="00397B10"/>
    <w:rsid w:val="003A405F"/>
    <w:rsid w:val="003D0AF4"/>
    <w:rsid w:val="003D440D"/>
    <w:rsid w:val="003E0B88"/>
    <w:rsid w:val="00452C76"/>
    <w:rsid w:val="004B6C46"/>
    <w:rsid w:val="004D392A"/>
    <w:rsid w:val="004F7E92"/>
    <w:rsid w:val="00580774"/>
    <w:rsid w:val="005A057C"/>
    <w:rsid w:val="005A69E7"/>
    <w:rsid w:val="005B7F46"/>
    <w:rsid w:val="005F6704"/>
    <w:rsid w:val="00605B16"/>
    <w:rsid w:val="006C16C9"/>
    <w:rsid w:val="007A4CAB"/>
    <w:rsid w:val="007D708A"/>
    <w:rsid w:val="00802CA3"/>
    <w:rsid w:val="008135FB"/>
    <w:rsid w:val="00822E36"/>
    <w:rsid w:val="00853064"/>
    <w:rsid w:val="00865479"/>
    <w:rsid w:val="008F738C"/>
    <w:rsid w:val="009135E2"/>
    <w:rsid w:val="00987330"/>
    <w:rsid w:val="009C5A52"/>
    <w:rsid w:val="009F22F5"/>
    <w:rsid w:val="00A32AC5"/>
    <w:rsid w:val="00A35CF3"/>
    <w:rsid w:val="00A94299"/>
    <w:rsid w:val="00AB77C0"/>
    <w:rsid w:val="00AC55DE"/>
    <w:rsid w:val="00AD783D"/>
    <w:rsid w:val="00AF1094"/>
    <w:rsid w:val="00AF621A"/>
    <w:rsid w:val="00B51BBF"/>
    <w:rsid w:val="00B77FC6"/>
    <w:rsid w:val="00C13A8A"/>
    <w:rsid w:val="00C40797"/>
    <w:rsid w:val="00CC03E1"/>
    <w:rsid w:val="00CE43D7"/>
    <w:rsid w:val="00D42936"/>
    <w:rsid w:val="00D66E32"/>
    <w:rsid w:val="00DF6ADD"/>
    <w:rsid w:val="00E20F32"/>
    <w:rsid w:val="00E85CC4"/>
    <w:rsid w:val="00EA2B8F"/>
    <w:rsid w:val="00ED434F"/>
    <w:rsid w:val="00EF19C5"/>
    <w:rsid w:val="00EF38BE"/>
    <w:rsid w:val="00EF64DE"/>
    <w:rsid w:val="00F47D8F"/>
    <w:rsid w:val="00F66329"/>
    <w:rsid w:val="00F81FC7"/>
    <w:rsid w:val="00F8772D"/>
    <w:rsid w:val="00FE2D21"/>
    <w:rsid w:val="022267B7"/>
    <w:rsid w:val="0BFF5A10"/>
    <w:rsid w:val="0CA973EE"/>
    <w:rsid w:val="0DE4745F"/>
    <w:rsid w:val="10AD5324"/>
    <w:rsid w:val="11E22A37"/>
    <w:rsid w:val="123366C6"/>
    <w:rsid w:val="1394157D"/>
    <w:rsid w:val="195B32BB"/>
    <w:rsid w:val="22D33E85"/>
    <w:rsid w:val="26FF4187"/>
    <w:rsid w:val="27141DEC"/>
    <w:rsid w:val="28436D6C"/>
    <w:rsid w:val="2A3A4C8A"/>
    <w:rsid w:val="2E910ED4"/>
    <w:rsid w:val="308B0E17"/>
    <w:rsid w:val="3BE74D4E"/>
    <w:rsid w:val="3DA64F64"/>
    <w:rsid w:val="4B3F7B6D"/>
    <w:rsid w:val="51E97071"/>
    <w:rsid w:val="53BF7C0A"/>
    <w:rsid w:val="5B3F3CF5"/>
    <w:rsid w:val="5F83370F"/>
    <w:rsid w:val="60E23E2F"/>
    <w:rsid w:val="63946AC2"/>
    <w:rsid w:val="689911C7"/>
    <w:rsid w:val="6E46675F"/>
    <w:rsid w:val="6E6E0436"/>
    <w:rsid w:val="7F14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link w:val="17"/>
    <w:semiHidden/>
    <w:unhideWhenUsed/>
    <w:qFormat/>
    <w:uiPriority w:val="0"/>
    <w:pPr>
      <w:spacing w:after="120"/>
    </w:pPr>
  </w:style>
  <w:style w:type="paragraph" w:styleId="7">
    <w:name w:val="Balloon Text"/>
    <w:basedOn w:val="1"/>
    <w:link w:val="16"/>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character" w:customStyle="1" w:styleId="16">
    <w:name w:val="批注框文本 Char"/>
    <w:basedOn w:val="13"/>
    <w:link w:val="7"/>
    <w:qFormat/>
    <w:uiPriority w:val="0"/>
    <w:rPr>
      <w:rFonts w:eastAsia="仿宋_GB2312"/>
      <w:kern w:val="2"/>
      <w:sz w:val="18"/>
      <w:szCs w:val="18"/>
    </w:rPr>
  </w:style>
  <w:style w:type="character" w:customStyle="1" w:styleId="17">
    <w:name w:val="正文文本 Char"/>
    <w:basedOn w:val="13"/>
    <w:link w:val="6"/>
    <w:semiHidden/>
    <w:qFormat/>
    <w:uiPriority w:val="0"/>
    <w:rPr>
      <w:rFonts w:eastAsia="仿宋_GB2312"/>
      <w:kern w:val="2"/>
      <w:sz w:val="32"/>
      <w:szCs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3076</Words>
  <Characters>3625</Characters>
  <Lines>27</Lines>
  <Paragraphs>7</Paragraphs>
  <TotalTime>5</TotalTime>
  <ScaleCrop>false</ScaleCrop>
  <LinksUpToDate>false</LinksUpToDate>
  <CharactersWithSpaces>3678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2024-05-09T06:56:00Z</dcterms:created>
  <dc:creator>刘武军</dc:creator>
  <cp:lastModifiedBy>展航</cp:lastModifiedBy>
  <cp:lastPrinted>2024-11-13T02:04:00Z</cp:lastPrinted>
  <dcterms:modified xsi:type="dcterms:W3CDTF">2024-11-13T07:54:24Z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6C2224FD0337411890EBC56EEA76184F_13</vt:lpwstr>
  </property>
</Properties>
</file>